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BD2C0A" w14:textId="77777777" w:rsidR="00C56EB8" w:rsidRPr="00C56EB8" w:rsidRDefault="00C56EB8" w:rsidP="00C56EB8">
      <w:pPr>
        <w:jc w:val="both"/>
        <w:rPr>
          <w:rFonts w:ascii="Helvetica" w:eastAsiaTheme="minorHAnsi" w:hAnsi="Helvetica" w:cs="Helvetica"/>
          <w:sz w:val="20"/>
        </w:rPr>
      </w:pPr>
    </w:p>
    <w:p w14:paraId="7464901E" w14:textId="07F382E6" w:rsidR="00C56EB8" w:rsidRDefault="4597242F" w:rsidP="6D4DA2E5">
      <w:pPr>
        <w:jc w:val="both"/>
        <w:rPr>
          <w:rFonts w:ascii="Helvetica" w:eastAsiaTheme="minorEastAsia" w:hAnsi="Helvetica" w:cs="Helvetica"/>
          <w:sz w:val="20"/>
        </w:rPr>
      </w:pPr>
      <w:r w:rsidRPr="6D4DA2E5">
        <w:rPr>
          <w:rFonts w:ascii="Helvetica" w:eastAsiaTheme="minorEastAsia" w:hAnsi="Helvetica" w:cs="Helvetica"/>
          <w:sz w:val="20"/>
        </w:rPr>
        <w:t>February</w:t>
      </w:r>
      <w:r w:rsidR="0055702D">
        <w:rPr>
          <w:rFonts w:ascii="Helvetica" w:eastAsiaTheme="minorEastAsia" w:hAnsi="Helvetica" w:cs="Helvetica"/>
          <w:sz w:val="20"/>
        </w:rPr>
        <w:t xml:space="preserve"> 1,</w:t>
      </w:r>
      <w:r w:rsidR="001D5905" w:rsidRPr="6D4DA2E5">
        <w:rPr>
          <w:rFonts w:ascii="Helvetica" w:eastAsiaTheme="minorEastAsia" w:hAnsi="Helvetica" w:cs="Helvetica"/>
          <w:sz w:val="20"/>
        </w:rPr>
        <w:t xml:space="preserve"> 2021</w:t>
      </w:r>
    </w:p>
    <w:p w14:paraId="5CF44F76" w14:textId="3D2B1281" w:rsidR="001D5905" w:rsidRDefault="001D5905" w:rsidP="00C56EB8">
      <w:pPr>
        <w:jc w:val="both"/>
        <w:rPr>
          <w:rFonts w:ascii="Helvetica" w:eastAsiaTheme="minorHAnsi" w:hAnsi="Helvetica" w:cs="Helvetica"/>
          <w:sz w:val="20"/>
        </w:rPr>
      </w:pPr>
    </w:p>
    <w:p w14:paraId="3871A5F9" w14:textId="5EDFE8E5" w:rsidR="00977176" w:rsidRDefault="00977176" w:rsidP="00C56EB8">
      <w:pPr>
        <w:jc w:val="both"/>
        <w:rPr>
          <w:rFonts w:ascii="Helvetica" w:eastAsiaTheme="minorHAnsi" w:hAnsi="Helvetica" w:cs="Helvetica"/>
          <w:sz w:val="20"/>
        </w:rPr>
      </w:pPr>
      <w:r>
        <w:rPr>
          <w:rFonts w:ascii="Helvetica" w:eastAsiaTheme="minorHAnsi" w:hAnsi="Helvetica" w:cs="Helvetica"/>
          <w:sz w:val="20"/>
        </w:rPr>
        <w:t>The Honorable Ton</w:t>
      </w:r>
      <w:r w:rsidR="00AA7BC6">
        <w:rPr>
          <w:rFonts w:ascii="Helvetica" w:eastAsiaTheme="minorHAnsi" w:hAnsi="Helvetica" w:cs="Helvetica"/>
          <w:sz w:val="20"/>
        </w:rPr>
        <w:t>i</w:t>
      </w:r>
      <w:r>
        <w:rPr>
          <w:rFonts w:ascii="Helvetica" w:eastAsiaTheme="minorHAnsi" w:hAnsi="Helvetica" w:cs="Helvetica"/>
          <w:sz w:val="20"/>
        </w:rPr>
        <w:t xml:space="preserve"> Atkins</w:t>
      </w:r>
      <w:r>
        <w:rPr>
          <w:rFonts w:ascii="Helvetica" w:eastAsiaTheme="minorHAnsi" w:hAnsi="Helvetica" w:cs="Helvetica"/>
          <w:sz w:val="20"/>
        </w:rPr>
        <w:tab/>
      </w:r>
      <w:r>
        <w:rPr>
          <w:rFonts w:ascii="Helvetica" w:eastAsiaTheme="minorHAnsi" w:hAnsi="Helvetica" w:cs="Helvetica"/>
          <w:sz w:val="20"/>
        </w:rPr>
        <w:tab/>
      </w:r>
      <w:r>
        <w:rPr>
          <w:rFonts w:ascii="Helvetica" w:eastAsiaTheme="minorHAnsi" w:hAnsi="Helvetica" w:cs="Helvetica"/>
          <w:sz w:val="20"/>
        </w:rPr>
        <w:tab/>
      </w:r>
      <w:r>
        <w:rPr>
          <w:rFonts w:ascii="Helvetica" w:eastAsiaTheme="minorHAnsi" w:hAnsi="Helvetica" w:cs="Helvetica"/>
          <w:sz w:val="20"/>
        </w:rPr>
        <w:tab/>
      </w:r>
      <w:r>
        <w:rPr>
          <w:rFonts w:ascii="Helvetica" w:eastAsiaTheme="minorHAnsi" w:hAnsi="Helvetica" w:cs="Helvetica"/>
          <w:sz w:val="20"/>
        </w:rPr>
        <w:tab/>
      </w:r>
      <w:r>
        <w:rPr>
          <w:rFonts w:ascii="Helvetica" w:eastAsiaTheme="minorHAnsi" w:hAnsi="Helvetica" w:cs="Helvetica"/>
          <w:sz w:val="20"/>
        </w:rPr>
        <w:tab/>
      </w:r>
      <w:r>
        <w:rPr>
          <w:rFonts w:ascii="Helvetica" w:eastAsiaTheme="minorHAnsi" w:hAnsi="Helvetica" w:cs="Helvetica"/>
          <w:sz w:val="20"/>
        </w:rPr>
        <w:tab/>
      </w:r>
      <w:r>
        <w:rPr>
          <w:rFonts w:ascii="Helvetica" w:eastAsiaTheme="minorHAnsi" w:hAnsi="Helvetica" w:cs="Helvetica"/>
          <w:sz w:val="20"/>
        </w:rPr>
        <w:tab/>
      </w:r>
      <w:r>
        <w:rPr>
          <w:rFonts w:ascii="Helvetica" w:eastAsiaTheme="minorHAnsi" w:hAnsi="Helvetica" w:cs="Helvetica"/>
          <w:sz w:val="20"/>
        </w:rPr>
        <w:tab/>
      </w:r>
      <w:r>
        <w:rPr>
          <w:rFonts w:ascii="Helvetica" w:eastAsiaTheme="minorHAnsi" w:hAnsi="Helvetica" w:cs="Helvetica"/>
          <w:sz w:val="20"/>
        </w:rPr>
        <w:tab/>
      </w:r>
      <w:r>
        <w:rPr>
          <w:rFonts w:ascii="Helvetica" w:eastAsiaTheme="minorHAnsi" w:hAnsi="Helvetica" w:cs="Helvetica"/>
          <w:sz w:val="20"/>
        </w:rPr>
        <w:tab/>
      </w:r>
      <w:r>
        <w:rPr>
          <w:rFonts w:ascii="Helvetica" w:eastAsiaTheme="minorHAnsi" w:hAnsi="Helvetica" w:cs="Helvetica"/>
          <w:sz w:val="20"/>
        </w:rPr>
        <w:tab/>
        <w:t>The Honorable Anthony Rendon</w:t>
      </w:r>
    </w:p>
    <w:p w14:paraId="71A64D82" w14:textId="24B4C79C" w:rsidR="00BD5D1C" w:rsidRDefault="00887BD6" w:rsidP="00C56EB8">
      <w:pPr>
        <w:jc w:val="both"/>
        <w:rPr>
          <w:rFonts w:ascii="Helvetica" w:eastAsiaTheme="minorHAnsi" w:hAnsi="Helvetica" w:cs="Helvetica"/>
          <w:sz w:val="20"/>
        </w:rPr>
      </w:pPr>
      <w:r>
        <w:rPr>
          <w:rFonts w:ascii="Helvetica" w:eastAsiaTheme="minorHAnsi" w:hAnsi="Helvetica" w:cs="Helvetica"/>
          <w:sz w:val="20"/>
        </w:rPr>
        <w:t>President</w:t>
      </w:r>
      <w:r w:rsidR="00762101">
        <w:rPr>
          <w:rFonts w:ascii="Helvetica" w:eastAsiaTheme="minorHAnsi" w:hAnsi="Helvetica" w:cs="Helvetica"/>
          <w:sz w:val="20"/>
        </w:rPr>
        <w:t xml:space="preserve"> </w:t>
      </w:r>
      <w:r>
        <w:rPr>
          <w:rFonts w:ascii="Helvetica" w:eastAsiaTheme="minorHAnsi" w:hAnsi="Helvetica" w:cs="Helvetica"/>
          <w:sz w:val="20"/>
        </w:rPr>
        <w:t xml:space="preserve">Pro </w:t>
      </w:r>
      <w:proofErr w:type="spellStart"/>
      <w:r>
        <w:rPr>
          <w:rFonts w:ascii="Helvetica" w:eastAsiaTheme="minorHAnsi" w:hAnsi="Helvetica" w:cs="Helvetica"/>
          <w:sz w:val="20"/>
        </w:rPr>
        <w:t>Tem</w:t>
      </w:r>
      <w:proofErr w:type="spellEnd"/>
      <w:r w:rsidR="000A4144">
        <w:rPr>
          <w:rFonts w:ascii="Helvetica" w:eastAsiaTheme="minorHAnsi" w:hAnsi="Helvetica" w:cs="Helvetica"/>
          <w:sz w:val="20"/>
        </w:rPr>
        <w:t xml:space="preserve">, </w:t>
      </w:r>
      <w:r w:rsidR="00BD5D1C">
        <w:rPr>
          <w:rFonts w:ascii="Helvetica" w:eastAsiaTheme="minorHAnsi" w:hAnsi="Helvetica" w:cs="Helvetica"/>
          <w:sz w:val="20"/>
        </w:rPr>
        <w:t>California State Senate</w:t>
      </w:r>
      <w:r w:rsidR="000A4144">
        <w:rPr>
          <w:rFonts w:ascii="Helvetica" w:eastAsiaTheme="minorHAnsi" w:hAnsi="Helvetica" w:cs="Helvetica"/>
          <w:sz w:val="20"/>
        </w:rPr>
        <w:tab/>
      </w:r>
      <w:r w:rsidR="000A4144">
        <w:rPr>
          <w:rFonts w:ascii="Helvetica" w:eastAsiaTheme="minorHAnsi" w:hAnsi="Helvetica" w:cs="Helvetica"/>
          <w:sz w:val="20"/>
        </w:rPr>
        <w:tab/>
      </w:r>
      <w:r w:rsidR="000A4144">
        <w:rPr>
          <w:rFonts w:ascii="Helvetica" w:eastAsiaTheme="minorHAnsi" w:hAnsi="Helvetica" w:cs="Helvetica"/>
          <w:sz w:val="20"/>
        </w:rPr>
        <w:tab/>
      </w:r>
      <w:r w:rsidR="000A4144">
        <w:rPr>
          <w:rFonts w:ascii="Helvetica" w:eastAsiaTheme="minorHAnsi" w:hAnsi="Helvetica" w:cs="Helvetica"/>
          <w:sz w:val="20"/>
        </w:rPr>
        <w:tab/>
      </w:r>
      <w:r w:rsidR="000A4144">
        <w:rPr>
          <w:rFonts w:ascii="Helvetica" w:eastAsiaTheme="minorHAnsi" w:hAnsi="Helvetica" w:cs="Helvetica"/>
          <w:sz w:val="20"/>
        </w:rPr>
        <w:tab/>
      </w:r>
      <w:r w:rsidR="000A4144">
        <w:rPr>
          <w:rFonts w:ascii="Helvetica" w:eastAsiaTheme="minorHAnsi" w:hAnsi="Helvetica" w:cs="Helvetica"/>
          <w:sz w:val="20"/>
        </w:rPr>
        <w:tab/>
      </w:r>
      <w:r w:rsidR="000A4144">
        <w:rPr>
          <w:rFonts w:ascii="Helvetica" w:eastAsiaTheme="minorHAnsi" w:hAnsi="Helvetica" w:cs="Helvetica"/>
          <w:sz w:val="20"/>
        </w:rPr>
        <w:tab/>
        <w:t>Speaker, California State Assembly</w:t>
      </w:r>
    </w:p>
    <w:p w14:paraId="3D1B0EB2" w14:textId="7DF57B08" w:rsidR="00BD5D1C" w:rsidRDefault="00BD5D1C" w:rsidP="00C56EB8">
      <w:pPr>
        <w:jc w:val="both"/>
        <w:rPr>
          <w:rFonts w:ascii="Helvetica" w:eastAsiaTheme="minorHAnsi" w:hAnsi="Helvetica" w:cs="Helvetica"/>
          <w:sz w:val="20"/>
        </w:rPr>
      </w:pPr>
      <w:r>
        <w:rPr>
          <w:rFonts w:ascii="Helvetica" w:eastAsiaTheme="minorHAnsi" w:hAnsi="Helvetica" w:cs="Helvetica"/>
          <w:sz w:val="20"/>
        </w:rPr>
        <w:t>St</w:t>
      </w:r>
      <w:r w:rsidR="000A4144">
        <w:rPr>
          <w:rFonts w:ascii="Helvetica" w:eastAsiaTheme="minorHAnsi" w:hAnsi="Helvetica" w:cs="Helvetica"/>
          <w:sz w:val="20"/>
        </w:rPr>
        <w:t>a</w:t>
      </w:r>
      <w:r>
        <w:rPr>
          <w:rFonts w:ascii="Helvetica" w:eastAsiaTheme="minorHAnsi" w:hAnsi="Helvetica" w:cs="Helvetica"/>
          <w:sz w:val="20"/>
        </w:rPr>
        <w:t>te Capitol, Room 205</w:t>
      </w:r>
      <w:r w:rsidR="000A4144">
        <w:rPr>
          <w:rFonts w:ascii="Helvetica" w:eastAsiaTheme="minorHAnsi" w:hAnsi="Helvetica" w:cs="Helvetica"/>
          <w:sz w:val="20"/>
        </w:rPr>
        <w:tab/>
      </w:r>
      <w:r w:rsidR="000A4144">
        <w:rPr>
          <w:rFonts w:ascii="Helvetica" w:eastAsiaTheme="minorHAnsi" w:hAnsi="Helvetica" w:cs="Helvetica"/>
          <w:sz w:val="20"/>
        </w:rPr>
        <w:tab/>
      </w:r>
      <w:r w:rsidR="000A4144">
        <w:rPr>
          <w:rFonts w:ascii="Helvetica" w:eastAsiaTheme="minorHAnsi" w:hAnsi="Helvetica" w:cs="Helvetica"/>
          <w:sz w:val="20"/>
        </w:rPr>
        <w:tab/>
      </w:r>
      <w:r w:rsidR="000A4144">
        <w:rPr>
          <w:rFonts w:ascii="Helvetica" w:eastAsiaTheme="minorHAnsi" w:hAnsi="Helvetica" w:cs="Helvetica"/>
          <w:sz w:val="20"/>
        </w:rPr>
        <w:tab/>
      </w:r>
      <w:r w:rsidR="000A4144">
        <w:rPr>
          <w:rFonts w:ascii="Helvetica" w:eastAsiaTheme="minorHAnsi" w:hAnsi="Helvetica" w:cs="Helvetica"/>
          <w:sz w:val="20"/>
        </w:rPr>
        <w:tab/>
      </w:r>
      <w:r w:rsidR="000A4144">
        <w:rPr>
          <w:rFonts w:ascii="Helvetica" w:eastAsiaTheme="minorHAnsi" w:hAnsi="Helvetica" w:cs="Helvetica"/>
          <w:sz w:val="20"/>
        </w:rPr>
        <w:tab/>
      </w:r>
      <w:r w:rsidR="000A4144">
        <w:rPr>
          <w:rFonts w:ascii="Helvetica" w:eastAsiaTheme="minorHAnsi" w:hAnsi="Helvetica" w:cs="Helvetica"/>
          <w:sz w:val="20"/>
        </w:rPr>
        <w:tab/>
      </w:r>
      <w:r w:rsidR="000A4144">
        <w:rPr>
          <w:rFonts w:ascii="Helvetica" w:eastAsiaTheme="minorHAnsi" w:hAnsi="Helvetica" w:cs="Helvetica"/>
          <w:sz w:val="20"/>
        </w:rPr>
        <w:tab/>
      </w:r>
      <w:r w:rsidR="000A4144">
        <w:rPr>
          <w:rFonts w:ascii="Helvetica" w:eastAsiaTheme="minorHAnsi" w:hAnsi="Helvetica" w:cs="Helvetica"/>
          <w:sz w:val="20"/>
        </w:rPr>
        <w:tab/>
      </w:r>
      <w:r w:rsidR="000A4144">
        <w:rPr>
          <w:rFonts w:ascii="Helvetica" w:eastAsiaTheme="minorHAnsi" w:hAnsi="Helvetica" w:cs="Helvetica"/>
          <w:sz w:val="20"/>
        </w:rPr>
        <w:tab/>
      </w:r>
      <w:r w:rsidR="000A4144">
        <w:rPr>
          <w:rFonts w:ascii="Helvetica" w:eastAsiaTheme="minorHAnsi" w:hAnsi="Helvetica" w:cs="Helvetica"/>
          <w:sz w:val="20"/>
        </w:rPr>
        <w:tab/>
      </w:r>
      <w:r w:rsidR="000A4144">
        <w:rPr>
          <w:rFonts w:ascii="Helvetica" w:eastAsiaTheme="minorHAnsi" w:hAnsi="Helvetica" w:cs="Helvetica"/>
          <w:sz w:val="20"/>
        </w:rPr>
        <w:tab/>
      </w:r>
      <w:r w:rsidR="000A4144">
        <w:rPr>
          <w:rFonts w:ascii="Helvetica" w:eastAsiaTheme="minorHAnsi" w:hAnsi="Helvetica" w:cs="Helvetica"/>
          <w:sz w:val="20"/>
        </w:rPr>
        <w:tab/>
        <w:t>State Capitol, Room 219</w:t>
      </w:r>
    </w:p>
    <w:p w14:paraId="010EA27E" w14:textId="5BBF5EE3" w:rsidR="00BD5D1C" w:rsidRDefault="00BD5D1C" w:rsidP="00C56EB8">
      <w:pPr>
        <w:jc w:val="both"/>
        <w:rPr>
          <w:rFonts w:ascii="Helvetica" w:eastAsiaTheme="minorHAnsi" w:hAnsi="Helvetica" w:cs="Helvetica"/>
          <w:sz w:val="20"/>
        </w:rPr>
      </w:pPr>
      <w:r>
        <w:rPr>
          <w:rFonts w:ascii="Helvetica" w:eastAsiaTheme="minorHAnsi" w:hAnsi="Helvetica" w:cs="Helvetica"/>
          <w:sz w:val="20"/>
        </w:rPr>
        <w:t>Sacramento, CA 95814</w:t>
      </w:r>
      <w:r w:rsidR="000A4144">
        <w:rPr>
          <w:rFonts w:ascii="Helvetica" w:eastAsiaTheme="minorHAnsi" w:hAnsi="Helvetica" w:cs="Helvetica"/>
          <w:sz w:val="20"/>
        </w:rPr>
        <w:tab/>
      </w:r>
      <w:r w:rsidR="000A4144">
        <w:rPr>
          <w:rFonts w:ascii="Helvetica" w:eastAsiaTheme="minorHAnsi" w:hAnsi="Helvetica" w:cs="Helvetica"/>
          <w:sz w:val="20"/>
        </w:rPr>
        <w:tab/>
      </w:r>
      <w:r w:rsidR="000A4144">
        <w:rPr>
          <w:rFonts w:ascii="Helvetica" w:eastAsiaTheme="minorHAnsi" w:hAnsi="Helvetica" w:cs="Helvetica"/>
          <w:sz w:val="20"/>
        </w:rPr>
        <w:tab/>
      </w:r>
      <w:r w:rsidR="000A4144">
        <w:rPr>
          <w:rFonts w:ascii="Helvetica" w:eastAsiaTheme="minorHAnsi" w:hAnsi="Helvetica" w:cs="Helvetica"/>
          <w:sz w:val="20"/>
        </w:rPr>
        <w:tab/>
      </w:r>
      <w:r w:rsidR="000A4144">
        <w:rPr>
          <w:rFonts w:ascii="Helvetica" w:eastAsiaTheme="minorHAnsi" w:hAnsi="Helvetica" w:cs="Helvetica"/>
          <w:sz w:val="20"/>
        </w:rPr>
        <w:tab/>
      </w:r>
      <w:r w:rsidR="000A4144">
        <w:rPr>
          <w:rFonts w:ascii="Helvetica" w:eastAsiaTheme="minorHAnsi" w:hAnsi="Helvetica" w:cs="Helvetica"/>
          <w:sz w:val="20"/>
        </w:rPr>
        <w:tab/>
      </w:r>
      <w:r w:rsidR="000A4144">
        <w:rPr>
          <w:rFonts w:ascii="Helvetica" w:eastAsiaTheme="minorHAnsi" w:hAnsi="Helvetica" w:cs="Helvetica"/>
          <w:sz w:val="20"/>
        </w:rPr>
        <w:tab/>
      </w:r>
      <w:r w:rsidR="000A4144">
        <w:rPr>
          <w:rFonts w:ascii="Helvetica" w:eastAsiaTheme="minorHAnsi" w:hAnsi="Helvetica" w:cs="Helvetica"/>
          <w:sz w:val="20"/>
        </w:rPr>
        <w:tab/>
      </w:r>
      <w:r w:rsidR="000A4144">
        <w:rPr>
          <w:rFonts w:ascii="Helvetica" w:eastAsiaTheme="minorHAnsi" w:hAnsi="Helvetica" w:cs="Helvetica"/>
          <w:sz w:val="20"/>
        </w:rPr>
        <w:tab/>
      </w:r>
      <w:r w:rsidR="000A4144">
        <w:rPr>
          <w:rFonts w:ascii="Helvetica" w:eastAsiaTheme="minorHAnsi" w:hAnsi="Helvetica" w:cs="Helvetica"/>
          <w:sz w:val="20"/>
        </w:rPr>
        <w:tab/>
      </w:r>
      <w:r w:rsidR="000A4144">
        <w:rPr>
          <w:rFonts w:ascii="Helvetica" w:eastAsiaTheme="minorHAnsi" w:hAnsi="Helvetica" w:cs="Helvetica"/>
          <w:sz w:val="20"/>
        </w:rPr>
        <w:tab/>
      </w:r>
      <w:r w:rsidR="000A4144">
        <w:rPr>
          <w:rFonts w:ascii="Helvetica" w:eastAsiaTheme="minorHAnsi" w:hAnsi="Helvetica" w:cs="Helvetica"/>
          <w:sz w:val="20"/>
        </w:rPr>
        <w:tab/>
      </w:r>
      <w:r w:rsidR="000A4144">
        <w:rPr>
          <w:rFonts w:ascii="Helvetica" w:eastAsiaTheme="minorHAnsi" w:hAnsi="Helvetica" w:cs="Helvetica"/>
          <w:sz w:val="20"/>
        </w:rPr>
        <w:tab/>
        <w:t>Sacramento, CA 95814</w:t>
      </w:r>
    </w:p>
    <w:p w14:paraId="57A82486" w14:textId="688DFE65" w:rsidR="000A4144" w:rsidRDefault="000A4144" w:rsidP="00C56EB8">
      <w:pPr>
        <w:jc w:val="both"/>
        <w:rPr>
          <w:rFonts w:ascii="Helvetica" w:eastAsiaTheme="minorHAnsi" w:hAnsi="Helvetica" w:cs="Helvetica"/>
          <w:sz w:val="20"/>
        </w:rPr>
      </w:pPr>
    </w:p>
    <w:p w14:paraId="2A65611A" w14:textId="4EF67AD3" w:rsidR="000A4144" w:rsidRDefault="000A4144" w:rsidP="00C56EB8">
      <w:pPr>
        <w:jc w:val="both"/>
        <w:rPr>
          <w:rFonts w:ascii="Helvetica" w:eastAsiaTheme="minorHAnsi" w:hAnsi="Helvetica" w:cs="Helvetica"/>
          <w:sz w:val="20"/>
        </w:rPr>
      </w:pPr>
      <w:r>
        <w:rPr>
          <w:rFonts w:ascii="Helvetica" w:eastAsiaTheme="minorHAnsi" w:hAnsi="Helvetica" w:cs="Helvetica"/>
          <w:sz w:val="20"/>
        </w:rPr>
        <w:t>Members</w:t>
      </w:r>
    </w:p>
    <w:p w14:paraId="10E88747" w14:textId="50B82B1B" w:rsidR="000A4144" w:rsidRDefault="000A4144" w:rsidP="00C56EB8">
      <w:pPr>
        <w:jc w:val="both"/>
        <w:rPr>
          <w:rFonts w:ascii="Helvetica" w:eastAsiaTheme="minorHAnsi" w:hAnsi="Helvetica" w:cs="Helvetica"/>
          <w:sz w:val="20"/>
        </w:rPr>
      </w:pPr>
      <w:r>
        <w:rPr>
          <w:rFonts w:ascii="Helvetica" w:eastAsiaTheme="minorHAnsi" w:hAnsi="Helvetica" w:cs="Helvetica"/>
          <w:sz w:val="20"/>
        </w:rPr>
        <w:t>California State Legislature</w:t>
      </w:r>
    </w:p>
    <w:p w14:paraId="445A8A1E" w14:textId="2003E6C9" w:rsidR="000A4144" w:rsidRDefault="000A4144" w:rsidP="00C56EB8">
      <w:pPr>
        <w:jc w:val="both"/>
        <w:rPr>
          <w:rFonts w:ascii="Helvetica" w:eastAsiaTheme="minorHAnsi" w:hAnsi="Helvetica" w:cs="Helvetica"/>
          <w:sz w:val="20"/>
        </w:rPr>
      </w:pPr>
      <w:r>
        <w:rPr>
          <w:rFonts w:ascii="Helvetica" w:eastAsiaTheme="minorHAnsi" w:hAnsi="Helvetica" w:cs="Helvetica"/>
          <w:sz w:val="20"/>
        </w:rPr>
        <w:t>State Capitol</w:t>
      </w:r>
    </w:p>
    <w:p w14:paraId="50B95E9F" w14:textId="563D04FE" w:rsidR="000A4144" w:rsidRPr="00C56EB8" w:rsidRDefault="000A4144" w:rsidP="00C56EB8">
      <w:pPr>
        <w:jc w:val="both"/>
        <w:rPr>
          <w:rFonts w:ascii="Helvetica" w:eastAsiaTheme="minorHAnsi" w:hAnsi="Helvetica" w:cs="Helvetica"/>
          <w:sz w:val="20"/>
        </w:rPr>
      </w:pPr>
      <w:r>
        <w:rPr>
          <w:rFonts w:ascii="Helvetica" w:eastAsiaTheme="minorHAnsi" w:hAnsi="Helvetica" w:cs="Helvetica"/>
          <w:sz w:val="20"/>
        </w:rPr>
        <w:t>Sacramento, CA 95814</w:t>
      </w:r>
    </w:p>
    <w:p w14:paraId="57920F6E" w14:textId="77777777" w:rsidR="00C56EB8" w:rsidRPr="00C56EB8" w:rsidRDefault="00C56EB8" w:rsidP="00C56EB8">
      <w:pPr>
        <w:jc w:val="both"/>
        <w:rPr>
          <w:rFonts w:ascii="Helvetica" w:eastAsiaTheme="minorHAnsi" w:hAnsi="Helvetica" w:cs="Helvetica"/>
          <w:sz w:val="20"/>
        </w:rPr>
      </w:pPr>
    </w:p>
    <w:p w14:paraId="1966D8FD" w14:textId="7AA583BE" w:rsidR="00C56EB8" w:rsidRPr="00C56EB8" w:rsidRDefault="00C56EB8" w:rsidP="6D4DA2E5">
      <w:pPr>
        <w:jc w:val="both"/>
        <w:rPr>
          <w:rFonts w:ascii="Helvetica" w:eastAsiaTheme="minorEastAsia" w:hAnsi="Helvetica" w:cs="Helvetica"/>
          <w:b/>
          <w:bCs/>
          <w:sz w:val="20"/>
        </w:rPr>
      </w:pPr>
      <w:r w:rsidRPr="6D4DA2E5">
        <w:rPr>
          <w:rFonts w:ascii="Helvetica" w:eastAsiaTheme="minorEastAsia" w:hAnsi="Helvetica" w:cs="Helvetica"/>
          <w:b/>
          <w:bCs/>
          <w:sz w:val="20"/>
        </w:rPr>
        <w:t>SUBJECT:</w:t>
      </w:r>
      <w:r>
        <w:tab/>
      </w:r>
      <w:r w:rsidR="006B7D39" w:rsidRPr="6D4DA2E5">
        <w:rPr>
          <w:rFonts w:ascii="Helvetica" w:eastAsiaTheme="minorEastAsia" w:hAnsi="Helvetica" w:cs="Helvetica"/>
          <w:b/>
          <w:bCs/>
          <w:sz w:val="20"/>
        </w:rPr>
        <w:t>California Occupational Safety and Health Emergency COVID Regulations</w:t>
      </w:r>
    </w:p>
    <w:p w14:paraId="199F1636" w14:textId="77777777" w:rsidR="00C56EB8" w:rsidRPr="00C56EB8" w:rsidRDefault="00C56EB8" w:rsidP="00C56EB8">
      <w:pPr>
        <w:jc w:val="both"/>
        <w:rPr>
          <w:rFonts w:ascii="Helvetica" w:eastAsiaTheme="minorHAnsi" w:hAnsi="Helvetica" w:cs="Helvetica"/>
          <w:sz w:val="20"/>
        </w:rPr>
      </w:pPr>
    </w:p>
    <w:p w14:paraId="0723E738" w14:textId="6A411815" w:rsidR="00C56EB8" w:rsidRPr="00C56EB8" w:rsidRDefault="00956DAA" w:rsidP="6D4DA2E5">
      <w:pPr>
        <w:jc w:val="both"/>
        <w:rPr>
          <w:rFonts w:ascii="Helvetica" w:eastAsiaTheme="minorEastAsia" w:hAnsi="Helvetica" w:cs="Helvetica"/>
          <w:sz w:val="20"/>
        </w:rPr>
      </w:pPr>
      <w:r>
        <w:rPr>
          <w:rFonts w:ascii="Helvetica" w:eastAsiaTheme="minorEastAsia" w:hAnsi="Helvetica" w:cs="Helvetica"/>
          <w:sz w:val="20"/>
        </w:rPr>
        <w:t xml:space="preserve">Madam President Pro </w:t>
      </w:r>
      <w:proofErr w:type="spellStart"/>
      <w:r>
        <w:rPr>
          <w:rFonts w:ascii="Helvetica" w:eastAsiaTheme="minorEastAsia" w:hAnsi="Helvetica" w:cs="Helvetica"/>
          <w:sz w:val="20"/>
        </w:rPr>
        <w:t>Tem</w:t>
      </w:r>
      <w:proofErr w:type="spellEnd"/>
      <w:r>
        <w:rPr>
          <w:rFonts w:ascii="Helvetica" w:eastAsiaTheme="minorEastAsia" w:hAnsi="Helvetica" w:cs="Helvetica"/>
          <w:sz w:val="20"/>
        </w:rPr>
        <w:t>, Mr. Speaker</w:t>
      </w:r>
      <w:r w:rsidR="0055702D">
        <w:rPr>
          <w:rFonts w:ascii="Helvetica" w:eastAsiaTheme="minorEastAsia" w:hAnsi="Helvetica" w:cs="Helvetica"/>
          <w:sz w:val="20"/>
        </w:rPr>
        <w:t xml:space="preserve">, </w:t>
      </w:r>
      <w:r w:rsidR="00E464A5" w:rsidRPr="6D4DA2E5">
        <w:rPr>
          <w:rFonts w:ascii="Helvetica" w:eastAsiaTheme="minorEastAsia" w:hAnsi="Helvetica" w:cs="Helvetica"/>
          <w:sz w:val="20"/>
        </w:rPr>
        <w:t>Members of the State Legislature</w:t>
      </w:r>
      <w:r w:rsidR="00C56EB8" w:rsidRPr="6D4DA2E5">
        <w:rPr>
          <w:rFonts w:ascii="Helvetica" w:eastAsiaTheme="minorEastAsia" w:hAnsi="Helvetica" w:cs="Helvetica"/>
          <w:sz w:val="20"/>
        </w:rPr>
        <w:t>:</w:t>
      </w:r>
    </w:p>
    <w:p w14:paraId="66DBB97E" w14:textId="64AC8337" w:rsidR="00F27C1E" w:rsidRDefault="00F27C1E" w:rsidP="00C56EB8">
      <w:pPr>
        <w:jc w:val="both"/>
        <w:rPr>
          <w:rFonts w:ascii="Helvetica" w:eastAsiaTheme="minorHAnsi" w:hAnsi="Helvetica" w:cs="Helvetica"/>
          <w:sz w:val="20"/>
        </w:rPr>
      </w:pPr>
    </w:p>
    <w:p w14:paraId="46031461" w14:textId="56D08A09" w:rsidR="00E478A9" w:rsidRPr="009A2336" w:rsidRDefault="006B7D39">
      <w:pPr>
        <w:pStyle w:val="NoSpacing"/>
        <w:jc w:val="both"/>
        <w:rPr>
          <w:rFonts w:ascii="Helvetica" w:hAnsi="Helvetica" w:cs="Helvetica"/>
          <w:sz w:val="20"/>
          <w:szCs w:val="20"/>
        </w:rPr>
      </w:pPr>
      <w:r w:rsidRPr="6D4DA2E5">
        <w:rPr>
          <w:rFonts w:ascii="Helvetica" w:hAnsi="Helvetica" w:cs="Helvetica"/>
          <w:sz w:val="20"/>
          <w:szCs w:val="20"/>
        </w:rPr>
        <w:t>As a follow-up to our earlier letter regarding California’s pathway to economic recovery, we wanted to provide you with a more detailed analysis on the undue burden employers throughout the State are facing due to rushed and infeasible standards Cal</w:t>
      </w:r>
      <w:r w:rsidR="0009598D">
        <w:rPr>
          <w:rFonts w:ascii="Helvetica" w:hAnsi="Helvetica" w:cs="Helvetica"/>
          <w:sz w:val="20"/>
          <w:szCs w:val="20"/>
        </w:rPr>
        <w:t>/</w:t>
      </w:r>
      <w:r w:rsidRPr="6D4DA2E5">
        <w:rPr>
          <w:rFonts w:ascii="Helvetica" w:hAnsi="Helvetica" w:cs="Helvetica"/>
          <w:sz w:val="20"/>
          <w:szCs w:val="20"/>
        </w:rPr>
        <w:t xml:space="preserve">OSHA adopted </w:t>
      </w:r>
      <w:r w:rsidR="00A775E8" w:rsidRPr="6D4DA2E5">
        <w:rPr>
          <w:rFonts w:ascii="Helvetica" w:hAnsi="Helvetica" w:cs="Helvetica"/>
          <w:sz w:val="20"/>
          <w:szCs w:val="20"/>
        </w:rPr>
        <w:t xml:space="preserve">at the end of last year </w:t>
      </w:r>
      <w:r w:rsidRPr="6D4DA2E5">
        <w:rPr>
          <w:rFonts w:ascii="Helvetica" w:hAnsi="Helvetica" w:cs="Helvetica"/>
          <w:sz w:val="20"/>
          <w:szCs w:val="20"/>
        </w:rPr>
        <w:t xml:space="preserve">to address COVID-19 (“ETS” or “Regulation).  While we </w:t>
      </w:r>
      <w:r w:rsidR="00AC0E3B" w:rsidRPr="6D4DA2E5">
        <w:rPr>
          <w:rFonts w:ascii="Helvetica" w:hAnsi="Helvetica" w:cs="Helvetica"/>
          <w:sz w:val="20"/>
          <w:szCs w:val="20"/>
        </w:rPr>
        <w:t>acknowledge</w:t>
      </w:r>
      <w:r w:rsidR="00626C90" w:rsidRPr="6D4DA2E5">
        <w:rPr>
          <w:rFonts w:ascii="Helvetica" w:hAnsi="Helvetica" w:cs="Helvetica"/>
          <w:sz w:val="20"/>
          <w:szCs w:val="20"/>
        </w:rPr>
        <w:t xml:space="preserve"> that safety </w:t>
      </w:r>
      <w:r w:rsidRPr="6D4DA2E5">
        <w:rPr>
          <w:rFonts w:ascii="Helvetica" w:hAnsi="Helvetica" w:cs="Helvetica"/>
          <w:sz w:val="20"/>
          <w:szCs w:val="20"/>
        </w:rPr>
        <w:t xml:space="preserve">practices in the workplace have had to change </w:t>
      </w:r>
      <w:proofErr w:type="gramStart"/>
      <w:r w:rsidRPr="6D4DA2E5">
        <w:rPr>
          <w:rFonts w:ascii="Helvetica" w:hAnsi="Helvetica" w:cs="Helvetica"/>
          <w:sz w:val="20"/>
          <w:szCs w:val="20"/>
        </w:rPr>
        <w:t>as a result of</w:t>
      </w:r>
      <w:proofErr w:type="gramEnd"/>
      <w:r w:rsidRPr="6D4DA2E5">
        <w:rPr>
          <w:rFonts w:ascii="Helvetica" w:hAnsi="Helvetica" w:cs="Helvetica"/>
          <w:sz w:val="20"/>
          <w:szCs w:val="20"/>
        </w:rPr>
        <w:t xml:space="preserve"> COVID, such </w:t>
      </w:r>
      <w:r w:rsidR="00582F7E" w:rsidRPr="6D4DA2E5">
        <w:rPr>
          <w:rFonts w:ascii="Helvetica" w:hAnsi="Helvetica" w:cs="Helvetica"/>
          <w:sz w:val="20"/>
          <w:szCs w:val="20"/>
        </w:rPr>
        <w:t xml:space="preserve">new safety restrictions </w:t>
      </w:r>
      <w:r w:rsidR="00582F7E" w:rsidRPr="6D4DA2E5">
        <w:rPr>
          <w:rFonts w:ascii="Helvetica" w:hAnsi="Helvetica" w:cs="Helvetica"/>
          <w:i/>
          <w:iCs/>
          <w:sz w:val="20"/>
          <w:szCs w:val="20"/>
        </w:rPr>
        <w:t>must be feasible</w:t>
      </w:r>
      <w:r w:rsidR="00582F7E" w:rsidRPr="6D4DA2E5">
        <w:rPr>
          <w:rFonts w:ascii="Helvetica" w:hAnsi="Helvetica" w:cs="Helvetica"/>
          <w:sz w:val="20"/>
          <w:szCs w:val="20"/>
        </w:rPr>
        <w:t xml:space="preserve"> </w:t>
      </w:r>
      <w:r w:rsidR="005A30B4" w:rsidRPr="6D4DA2E5">
        <w:rPr>
          <w:rFonts w:ascii="Helvetica" w:hAnsi="Helvetica" w:cs="Helvetica"/>
          <w:sz w:val="20"/>
          <w:szCs w:val="20"/>
        </w:rPr>
        <w:t xml:space="preserve">for employers of all sizes – large and small, rural and </w:t>
      </w:r>
      <w:r w:rsidR="009A2336" w:rsidRPr="6D4DA2E5">
        <w:rPr>
          <w:rFonts w:ascii="Helvetica" w:hAnsi="Helvetica" w:cs="Helvetica"/>
          <w:sz w:val="20"/>
          <w:szCs w:val="20"/>
        </w:rPr>
        <w:t xml:space="preserve">urban </w:t>
      </w:r>
      <w:r w:rsidR="00A10252" w:rsidRPr="6D4DA2E5">
        <w:rPr>
          <w:rFonts w:ascii="Helvetica" w:hAnsi="Helvetica" w:cs="Helvetica"/>
          <w:sz w:val="20"/>
          <w:szCs w:val="20"/>
        </w:rPr>
        <w:t>–</w:t>
      </w:r>
      <w:r w:rsidR="00E92228" w:rsidRPr="6D4DA2E5">
        <w:rPr>
          <w:rFonts w:ascii="Helvetica" w:hAnsi="Helvetica" w:cs="Helvetica"/>
          <w:sz w:val="20"/>
          <w:szCs w:val="20"/>
        </w:rPr>
        <w:t xml:space="preserve"> </w:t>
      </w:r>
      <w:r w:rsidR="005A30B4" w:rsidRPr="6D4DA2E5">
        <w:rPr>
          <w:rFonts w:ascii="Helvetica" w:hAnsi="Helvetica" w:cs="Helvetica"/>
          <w:sz w:val="20"/>
          <w:szCs w:val="20"/>
        </w:rPr>
        <w:t>to implement</w:t>
      </w:r>
      <w:r w:rsidR="00AB128B" w:rsidRPr="6D4DA2E5">
        <w:rPr>
          <w:rFonts w:ascii="Helvetica" w:hAnsi="Helvetica" w:cs="Helvetica"/>
          <w:sz w:val="20"/>
          <w:szCs w:val="20"/>
        </w:rPr>
        <w:t>.</w:t>
      </w:r>
      <w:r w:rsidR="0EFF5DB0" w:rsidRPr="6D4DA2E5">
        <w:rPr>
          <w:rFonts w:ascii="Helvetica" w:hAnsi="Helvetica" w:cs="Helvetica"/>
          <w:sz w:val="20"/>
          <w:szCs w:val="20"/>
        </w:rPr>
        <w:t xml:space="preserve">  </w:t>
      </w:r>
      <w:r w:rsidRPr="6D4DA2E5">
        <w:rPr>
          <w:rFonts w:ascii="Helvetica" w:hAnsi="Helvetica" w:cs="Helvetica"/>
          <w:sz w:val="20"/>
          <w:szCs w:val="20"/>
        </w:rPr>
        <w:t>I</w:t>
      </w:r>
      <w:r w:rsidR="6E51D048" w:rsidRPr="6D4DA2E5">
        <w:rPr>
          <w:rFonts w:ascii="Helvetica" w:hAnsi="Helvetica" w:cs="Helvetica"/>
          <w:sz w:val="20"/>
          <w:szCs w:val="20"/>
        </w:rPr>
        <w:t xml:space="preserve">n </w:t>
      </w:r>
      <w:r w:rsidR="000D7779" w:rsidRPr="6D4DA2E5">
        <w:rPr>
          <w:rFonts w:ascii="Helvetica" w:hAnsi="Helvetica" w:cs="Helvetica"/>
          <w:sz w:val="20"/>
          <w:szCs w:val="20"/>
        </w:rPr>
        <w:t xml:space="preserve">the rush to </w:t>
      </w:r>
      <w:r w:rsidR="006C7C55" w:rsidRPr="6D4DA2E5">
        <w:rPr>
          <w:rFonts w:ascii="Helvetica" w:hAnsi="Helvetica" w:cs="Helvetica"/>
          <w:sz w:val="20"/>
          <w:szCs w:val="20"/>
        </w:rPr>
        <w:t>put the ETS into effect</w:t>
      </w:r>
      <w:r w:rsidR="00A10252" w:rsidRPr="6D4DA2E5">
        <w:rPr>
          <w:rFonts w:ascii="Helvetica" w:hAnsi="Helvetica" w:cs="Helvetica"/>
          <w:sz w:val="20"/>
          <w:szCs w:val="20"/>
        </w:rPr>
        <w:t xml:space="preserve"> via emergency rulemaking last year</w:t>
      </w:r>
      <w:r w:rsidR="006C7C55" w:rsidRPr="6D4DA2E5">
        <w:rPr>
          <w:rFonts w:ascii="Helvetica" w:hAnsi="Helvetica" w:cs="Helvetica"/>
          <w:sz w:val="20"/>
          <w:szCs w:val="20"/>
        </w:rPr>
        <w:t xml:space="preserve">, Cal/OSHA failed to </w:t>
      </w:r>
      <w:r w:rsidR="00443BB2" w:rsidRPr="6D4DA2E5">
        <w:rPr>
          <w:rFonts w:ascii="Helvetica" w:hAnsi="Helvetica" w:cs="Helvetica"/>
          <w:sz w:val="20"/>
          <w:szCs w:val="20"/>
        </w:rPr>
        <w:t xml:space="preserve">adequately </w:t>
      </w:r>
      <w:r w:rsidR="006C7C55" w:rsidRPr="6D4DA2E5">
        <w:rPr>
          <w:rFonts w:ascii="Helvetica" w:hAnsi="Helvetica" w:cs="Helvetica"/>
          <w:sz w:val="20"/>
          <w:szCs w:val="20"/>
        </w:rPr>
        <w:t>consider the feasibility of some of its provisions for California’s employers</w:t>
      </w:r>
      <w:r w:rsidRPr="6D4DA2E5">
        <w:rPr>
          <w:rFonts w:ascii="Helvetica" w:hAnsi="Helvetica" w:cs="Helvetica"/>
          <w:sz w:val="20"/>
          <w:szCs w:val="20"/>
        </w:rPr>
        <w:t>, most importantly unlimited paid time off from work and testing obligations</w:t>
      </w:r>
      <w:r w:rsidR="00AB128B" w:rsidRPr="6D4DA2E5">
        <w:rPr>
          <w:rFonts w:ascii="Helvetica" w:hAnsi="Helvetica" w:cs="Helvetica"/>
          <w:sz w:val="20"/>
          <w:szCs w:val="20"/>
        </w:rPr>
        <w:t xml:space="preserve">. </w:t>
      </w:r>
      <w:r w:rsidRPr="6D4DA2E5">
        <w:rPr>
          <w:rFonts w:ascii="Helvetica" w:hAnsi="Helvetica" w:cs="Helvetica"/>
          <w:sz w:val="20"/>
          <w:szCs w:val="20"/>
        </w:rPr>
        <w:t>T</w:t>
      </w:r>
      <w:r w:rsidR="000735CD" w:rsidRPr="6D4DA2E5">
        <w:rPr>
          <w:rFonts w:ascii="Helvetica" w:hAnsi="Helvetica" w:cs="Helvetica"/>
          <w:sz w:val="20"/>
          <w:szCs w:val="20"/>
        </w:rPr>
        <w:t xml:space="preserve">hese infeasible requirements </w:t>
      </w:r>
      <w:r w:rsidR="00A10252" w:rsidRPr="6D4DA2E5">
        <w:rPr>
          <w:rFonts w:ascii="Helvetica" w:hAnsi="Helvetica" w:cs="Helvetica"/>
          <w:sz w:val="20"/>
          <w:szCs w:val="20"/>
        </w:rPr>
        <w:t xml:space="preserve">will remain in effect </w:t>
      </w:r>
      <w:r w:rsidR="003A033A" w:rsidRPr="6D4DA2E5">
        <w:rPr>
          <w:rFonts w:ascii="Helvetica" w:hAnsi="Helvetica" w:cs="Helvetica"/>
          <w:sz w:val="20"/>
          <w:szCs w:val="20"/>
        </w:rPr>
        <w:t xml:space="preserve">until </w:t>
      </w:r>
      <w:r w:rsidRPr="6D4DA2E5">
        <w:rPr>
          <w:rFonts w:ascii="Helvetica" w:hAnsi="Helvetica" w:cs="Helvetica"/>
          <w:sz w:val="20"/>
          <w:szCs w:val="20"/>
        </w:rPr>
        <w:t xml:space="preserve">the </w:t>
      </w:r>
      <w:r w:rsidR="4A78143C" w:rsidRPr="6D4DA2E5">
        <w:rPr>
          <w:rFonts w:ascii="Helvetica" w:hAnsi="Helvetica" w:cs="Helvetica"/>
          <w:sz w:val="20"/>
          <w:szCs w:val="20"/>
        </w:rPr>
        <w:t>Regulation expires</w:t>
      </w:r>
      <w:r w:rsidR="003A033A" w:rsidRPr="6D4DA2E5">
        <w:rPr>
          <w:rFonts w:ascii="Helvetica" w:hAnsi="Helvetica" w:cs="Helvetica"/>
          <w:sz w:val="20"/>
          <w:szCs w:val="20"/>
        </w:rPr>
        <w:t xml:space="preserve"> later this year or</w:t>
      </w:r>
      <w:r w:rsidR="000735CD" w:rsidRPr="6D4DA2E5">
        <w:rPr>
          <w:rFonts w:ascii="Helvetica" w:hAnsi="Helvetica" w:cs="Helvetica"/>
          <w:sz w:val="20"/>
          <w:szCs w:val="20"/>
        </w:rPr>
        <w:t>, if extended, into</w:t>
      </w:r>
      <w:r w:rsidR="003A033A" w:rsidRPr="6D4DA2E5">
        <w:rPr>
          <w:rFonts w:ascii="Helvetica" w:hAnsi="Helvetica" w:cs="Helvetica"/>
          <w:sz w:val="20"/>
          <w:szCs w:val="20"/>
        </w:rPr>
        <w:t xml:space="preserve"> early </w:t>
      </w:r>
      <w:r w:rsidR="004923C2" w:rsidRPr="6D4DA2E5">
        <w:rPr>
          <w:rFonts w:ascii="Helvetica" w:hAnsi="Helvetica" w:cs="Helvetica"/>
          <w:sz w:val="20"/>
          <w:szCs w:val="20"/>
        </w:rPr>
        <w:t>next year</w:t>
      </w:r>
      <w:r w:rsidR="003A033A" w:rsidRPr="6D4DA2E5">
        <w:rPr>
          <w:rFonts w:ascii="Helvetica" w:hAnsi="Helvetica" w:cs="Helvetica"/>
          <w:sz w:val="20"/>
          <w:szCs w:val="20"/>
        </w:rPr>
        <w:t>.</w:t>
      </w:r>
      <w:r w:rsidR="567E16CF" w:rsidRPr="6D4DA2E5">
        <w:rPr>
          <w:rFonts w:ascii="Helvetica" w:hAnsi="Helvetica" w:cs="Helvetica"/>
          <w:sz w:val="20"/>
          <w:szCs w:val="20"/>
        </w:rPr>
        <w:t xml:space="preserve"> They must be addressed.</w:t>
      </w:r>
    </w:p>
    <w:p w14:paraId="2F5C3682" w14:textId="7FA3DEFB" w:rsidR="00E478A9" w:rsidRPr="00B23F9E" w:rsidRDefault="00E478A9" w:rsidP="00E478A9">
      <w:pPr>
        <w:jc w:val="both"/>
        <w:rPr>
          <w:rFonts w:ascii="Helvetica" w:eastAsiaTheme="minorHAnsi" w:hAnsi="Helvetica" w:cs="Helvetica"/>
          <w:szCs w:val="24"/>
        </w:rPr>
      </w:pPr>
    </w:p>
    <w:p w14:paraId="4CAE4782" w14:textId="44E064DB" w:rsidR="00E478A9" w:rsidRPr="00775852" w:rsidRDefault="00E478A9" w:rsidP="00E478A9">
      <w:pPr>
        <w:pStyle w:val="ListParagraph"/>
        <w:numPr>
          <w:ilvl w:val="0"/>
          <w:numId w:val="7"/>
        </w:numPr>
        <w:jc w:val="both"/>
        <w:rPr>
          <w:rFonts w:ascii="Helvetica" w:eastAsiaTheme="minorHAnsi" w:hAnsi="Helvetica" w:cs="Helvetica"/>
          <w:szCs w:val="24"/>
        </w:rPr>
      </w:pPr>
      <w:r w:rsidRPr="00775852">
        <w:rPr>
          <w:rFonts w:ascii="Helvetica" w:eastAsiaTheme="minorHAnsi" w:hAnsi="Helvetica" w:cs="Helvetica"/>
          <w:b/>
          <w:bCs/>
          <w:szCs w:val="24"/>
        </w:rPr>
        <w:t xml:space="preserve">California Employers Cannot Afford the Unlimited </w:t>
      </w:r>
      <w:r w:rsidR="006B7D39" w:rsidRPr="00775852">
        <w:rPr>
          <w:rFonts w:ascii="Helvetica" w:eastAsiaTheme="minorHAnsi" w:hAnsi="Helvetica" w:cs="Helvetica"/>
          <w:b/>
          <w:bCs/>
          <w:szCs w:val="24"/>
        </w:rPr>
        <w:t xml:space="preserve">Paid Time Off </w:t>
      </w:r>
      <w:r w:rsidRPr="00775852">
        <w:rPr>
          <w:rFonts w:ascii="Helvetica" w:eastAsiaTheme="minorHAnsi" w:hAnsi="Helvetica" w:cs="Helvetica"/>
          <w:b/>
          <w:bCs/>
          <w:szCs w:val="24"/>
        </w:rPr>
        <w:t>Provision of the Regulation</w:t>
      </w:r>
      <w:r w:rsidRPr="00775852">
        <w:rPr>
          <w:rFonts w:ascii="Helvetica" w:eastAsiaTheme="minorHAnsi" w:hAnsi="Helvetica" w:cs="Helvetica"/>
          <w:szCs w:val="24"/>
        </w:rPr>
        <w:t>.</w:t>
      </w:r>
    </w:p>
    <w:p w14:paraId="0AB69E03" w14:textId="143594F9" w:rsidR="00CA0B1B" w:rsidRDefault="00CA0B1B" w:rsidP="00CA0B1B">
      <w:pPr>
        <w:jc w:val="both"/>
        <w:rPr>
          <w:rFonts w:ascii="Helvetica" w:eastAsiaTheme="minorHAnsi" w:hAnsi="Helvetica" w:cs="Helvetica"/>
          <w:sz w:val="20"/>
        </w:rPr>
      </w:pPr>
    </w:p>
    <w:p w14:paraId="48F1C7EB" w14:textId="4682CD64" w:rsidR="006B7D39" w:rsidRPr="009A2336" w:rsidRDefault="0009598D" w:rsidP="006B7D39">
      <w:pPr>
        <w:pStyle w:val="NoSpacing"/>
        <w:jc w:val="both"/>
        <w:rPr>
          <w:rFonts w:ascii="Helvetica" w:hAnsi="Helvetica" w:cs="Helvetica"/>
          <w:sz w:val="20"/>
          <w:szCs w:val="20"/>
        </w:rPr>
      </w:pPr>
      <w:r>
        <w:rPr>
          <w:rFonts w:ascii="Helvetica" w:hAnsi="Helvetica" w:cs="Helvetica"/>
          <w:b/>
          <w:bCs/>
          <w:sz w:val="20"/>
          <w:szCs w:val="20"/>
        </w:rPr>
        <w:t>T</w:t>
      </w:r>
      <w:r w:rsidR="00A5501D" w:rsidRPr="009A2336">
        <w:rPr>
          <w:rFonts w:ascii="Helvetica" w:hAnsi="Helvetica" w:cs="Helvetica"/>
          <w:b/>
          <w:bCs/>
          <w:sz w:val="20"/>
          <w:szCs w:val="20"/>
        </w:rPr>
        <w:t xml:space="preserve">he Financial Burden of Unlimited </w:t>
      </w:r>
      <w:r w:rsidR="006B7D39">
        <w:rPr>
          <w:rFonts w:ascii="Helvetica" w:hAnsi="Helvetica" w:cs="Helvetica"/>
          <w:b/>
          <w:bCs/>
          <w:sz w:val="20"/>
          <w:szCs w:val="20"/>
        </w:rPr>
        <w:t xml:space="preserve">Time Off </w:t>
      </w:r>
      <w:r w:rsidR="00A5501D" w:rsidRPr="009A2336">
        <w:rPr>
          <w:rFonts w:ascii="Helvetica" w:hAnsi="Helvetica" w:cs="Helvetica"/>
          <w:b/>
          <w:bCs/>
          <w:sz w:val="20"/>
          <w:szCs w:val="20"/>
        </w:rPr>
        <w:t xml:space="preserve">for </w:t>
      </w:r>
      <w:r w:rsidR="001D6979" w:rsidRPr="009A2336">
        <w:rPr>
          <w:rFonts w:ascii="Helvetica" w:hAnsi="Helvetica" w:cs="Helvetica"/>
          <w:b/>
          <w:bCs/>
          <w:sz w:val="20"/>
          <w:szCs w:val="20"/>
        </w:rPr>
        <w:t>Struggling Employers</w:t>
      </w:r>
      <w:r w:rsidR="005A0F49">
        <w:rPr>
          <w:rFonts w:ascii="Helvetica" w:hAnsi="Helvetica" w:cs="Helvetica"/>
          <w:b/>
          <w:bCs/>
          <w:sz w:val="20"/>
          <w:szCs w:val="20"/>
        </w:rPr>
        <w:t xml:space="preserve"> is Significant</w:t>
      </w:r>
      <w:r w:rsidR="00A5501D" w:rsidRPr="009A2336">
        <w:rPr>
          <w:rFonts w:ascii="Helvetica" w:hAnsi="Helvetica" w:cs="Helvetica"/>
          <w:sz w:val="20"/>
          <w:szCs w:val="20"/>
        </w:rPr>
        <w:t xml:space="preserve"> - </w:t>
      </w:r>
      <w:r w:rsidR="00CA0B1B" w:rsidRPr="009A2336">
        <w:rPr>
          <w:rFonts w:ascii="Helvetica" w:hAnsi="Helvetica" w:cs="Helvetica"/>
          <w:sz w:val="20"/>
          <w:szCs w:val="20"/>
        </w:rPr>
        <w:t xml:space="preserve">The Regulation </w:t>
      </w:r>
      <w:r w:rsidR="00D14B02" w:rsidRPr="009A2336">
        <w:rPr>
          <w:rFonts w:ascii="Helvetica" w:hAnsi="Helvetica" w:cs="Helvetica"/>
          <w:sz w:val="20"/>
          <w:szCs w:val="20"/>
        </w:rPr>
        <w:t xml:space="preserve">requires employers to exclude anyone who was </w:t>
      </w:r>
      <w:r w:rsidR="00C377F6" w:rsidRPr="009A2336">
        <w:rPr>
          <w:rFonts w:ascii="Helvetica" w:hAnsi="Helvetica" w:cs="Helvetica"/>
          <w:sz w:val="20"/>
          <w:szCs w:val="20"/>
        </w:rPr>
        <w:t>a “close contact”</w:t>
      </w:r>
      <w:r w:rsidR="00C377F6" w:rsidRPr="17AED955">
        <w:rPr>
          <w:rStyle w:val="FootnoteReference"/>
          <w:rFonts w:ascii="Helvetica" w:eastAsiaTheme="minorEastAsia" w:hAnsi="Helvetica" w:cs="Helvetica"/>
          <w:sz w:val="20"/>
          <w:szCs w:val="20"/>
        </w:rPr>
        <w:footnoteReference w:id="2"/>
      </w:r>
      <w:r w:rsidR="00C377F6" w:rsidRPr="009A2336">
        <w:rPr>
          <w:rFonts w:ascii="Helvetica" w:hAnsi="Helvetica" w:cs="Helvetica"/>
          <w:sz w:val="20"/>
          <w:szCs w:val="20"/>
        </w:rPr>
        <w:t xml:space="preserve"> of a COVID-19 case from the workplace for 10-14 days, during which time the employer must “maintain” their earnings.</w:t>
      </w:r>
      <w:r w:rsidR="00EA2579" w:rsidRPr="17AED955">
        <w:rPr>
          <w:rStyle w:val="FootnoteReference"/>
          <w:rFonts w:ascii="Helvetica" w:eastAsiaTheme="minorEastAsia" w:hAnsi="Helvetica" w:cs="Helvetica"/>
          <w:sz w:val="20"/>
          <w:szCs w:val="20"/>
        </w:rPr>
        <w:footnoteReference w:id="3"/>
      </w:r>
      <w:r w:rsidR="003B5DCD" w:rsidRPr="009A2336">
        <w:rPr>
          <w:rFonts w:ascii="Helvetica" w:hAnsi="Helvetica" w:cs="Helvetica"/>
          <w:sz w:val="20"/>
          <w:szCs w:val="20"/>
        </w:rPr>
        <w:t xml:space="preserve">  </w:t>
      </w:r>
      <w:r w:rsidR="00A771C6" w:rsidRPr="009A2336">
        <w:rPr>
          <w:rFonts w:ascii="Helvetica" w:hAnsi="Helvetica" w:cs="Helvetica"/>
          <w:sz w:val="20"/>
          <w:szCs w:val="20"/>
        </w:rPr>
        <w:t xml:space="preserve">This means that a working group or unit may </w:t>
      </w:r>
      <w:r w:rsidR="00A771C6" w:rsidRPr="17AED955">
        <w:rPr>
          <w:rFonts w:ascii="Helvetica" w:hAnsi="Helvetica" w:cs="Helvetica"/>
          <w:i/>
          <w:iCs/>
          <w:sz w:val="20"/>
          <w:szCs w:val="20"/>
        </w:rPr>
        <w:t xml:space="preserve">all </w:t>
      </w:r>
      <w:r w:rsidR="00A771C6" w:rsidRPr="009A2336">
        <w:rPr>
          <w:rFonts w:ascii="Helvetica" w:hAnsi="Helvetica" w:cs="Helvetica"/>
          <w:sz w:val="20"/>
          <w:szCs w:val="20"/>
        </w:rPr>
        <w:t xml:space="preserve">need to be excluded for </w:t>
      </w:r>
      <w:r w:rsidR="002D4D02">
        <w:rPr>
          <w:rFonts w:ascii="Helvetica" w:hAnsi="Helvetica" w:cs="Helvetica"/>
          <w:sz w:val="20"/>
          <w:szCs w:val="20"/>
        </w:rPr>
        <w:t xml:space="preserve">a </w:t>
      </w:r>
      <w:r w:rsidR="00A771C6" w:rsidRPr="009A2336">
        <w:rPr>
          <w:rFonts w:ascii="Helvetica" w:hAnsi="Helvetica" w:cs="Helvetica"/>
          <w:sz w:val="20"/>
          <w:szCs w:val="20"/>
        </w:rPr>
        <w:t xml:space="preserve">10-14 day period with </w:t>
      </w:r>
      <w:r w:rsidR="00D25B26" w:rsidRPr="009A2336">
        <w:rPr>
          <w:rFonts w:ascii="Helvetica" w:hAnsi="Helvetica" w:cs="Helvetica"/>
          <w:sz w:val="20"/>
          <w:szCs w:val="20"/>
        </w:rPr>
        <w:t xml:space="preserve">paid </w:t>
      </w:r>
      <w:r w:rsidR="006B7D39">
        <w:rPr>
          <w:rFonts w:ascii="Helvetica" w:hAnsi="Helvetica" w:cs="Helvetica"/>
          <w:sz w:val="20"/>
          <w:szCs w:val="20"/>
        </w:rPr>
        <w:t xml:space="preserve">time off </w:t>
      </w:r>
      <w:r w:rsidR="00920866">
        <w:rPr>
          <w:rFonts w:ascii="Helvetica" w:hAnsi="Helvetica" w:cs="Helvetica"/>
          <w:sz w:val="20"/>
          <w:szCs w:val="20"/>
        </w:rPr>
        <w:t>if they work in a relatively proximate workspace</w:t>
      </w:r>
      <w:r w:rsidR="00AB128B">
        <w:rPr>
          <w:rFonts w:ascii="Helvetica" w:hAnsi="Helvetica" w:cs="Helvetica"/>
          <w:sz w:val="20"/>
          <w:szCs w:val="20"/>
        </w:rPr>
        <w:t xml:space="preserve">. </w:t>
      </w:r>
      <w:r w:rsidR="006B7D39">
        <w:rPr>
          <w:rFonts w:ascii="Helvetica" w:hAnsi="Helvetica" w:cs="Helvetica"/>
          <w:sz w:val="20"/>
          <w:szCs w:val="20"/>
        </w:rPr>
        <w:t>And</w:t>
      </w:r>
      <w:r w:rsidR="006B7D39" w:rsidRPr="009A2336">
        <w:rPr>
          <w:rFonts w:ascii="Helvetica" w:hAnsi="Helvetica" w:cs="Helvetica"/>
          <w:sz w:val="20"/>
          <w:szCs w:val="20"/>
        </w:rPr>
        <w:t xml:space="preserve"> such exposures may occur more than once</w:t>
      </w:r>
      <w:r w:rsidR="006B7D39">
        <w:rPr>
          <w:rFonts w:ascii="Helvetica" w:hAnsi="Helvetica" w:cs="Helvetica"/>
          <w:sz w:val="20"/>
          <w:szCs w:val="20"/>
        </w:rPr>
        <w:t xml:space="preserve">. </w:t>
      </w:r>
      <w:r w:rsidR="006B7D39" w:rsidRPr="009A2336">
        <w:rPr>
          <w:rFonts w:ascii="Helvetica" w:hAnsi="Helvetica" w:cs="Helvetica"/>
          <w:sz w:val="20"/>
          <w:szCs w:val="20"/>
        </w:rPr>
        <w:t xml:space="preserve">By way of example: if social spread creates one </w:t>
      </w:r>
      <w:r w:rsidR="006B7D39">
        <w:rPr>
          <w:rFonts w:ascii="Helvetica" w:hAnsi="Helvetica" w:cs="Helvetica"/>
          <w:sz w:val="20"/>
          <w:szCs w:val="20"/>
        </w:rPr>
        <w:t xml:space="preserve">COVID </w:t>
      </w:r>
      <w:r w:rsidR="006B7D39" w:rsidRPr="009A2336">
        <w:rPr>
          <w:rFonts w:ascii="Helvetica" w:hAnsi="Helvetica" w:cs="Helvetica"/>
          <w:sz w:val="20"/>
          <w:szCs w:val="20"/>
        </w:rPr>
        <w:t xml:space="preserve">case in a workplace per month – even with </w:t>
      </w:r>
      <w:r w:rsidR="006B7D39" w:rsidRPr="17AED955">
        <w:rPr>
          <w:rFonts w:ascii="Helvetica" w:hAnsi="Helvetica" w:cs="Helvetica"/>
          <w:i/>
          <w:iCs/>
          <w:sz w:val="20"/>
          <w:szCs w:val="20"/>
          <w:u w:val="single"/>
        </w:rPr>
        <w:t>no actual spread in the workplace</w:t>
      </w:r>
      <w:r w:rsidR="006B7D39" w:rsidRPr="009A2336">
        <w:rPr>
          <w:rFonts w:ascii="Helvetica" w:hAnsi="Helvetica" w:cs="Helvetica"/>
          <w:sz w:val="20"/>
          <w:szCs w:val="20"/>
        </w:rPr>
        <w:t xml:space="preserve"> – the employer will be forced to remove all workers who were close contacts of the positive case from the workplace for 10-14 days.</w:t>
      </w:r>
      <w:r w:rsidR="006B7D39" w:rsidRPr="17AED955">
        <w:rPr>
          <w:rStyle w:val="FootnoteReference"/>
          <w:rFonts w:ascii="Helvetica" w:eastAsiaTheme="minorEastAsia" w:hAnsi="Helvetica" w:cs="Helvetica"/>
          <w:sz w:val="20"/>
          <w:szCs w:val="20"/>
        </w:rPr>
        <w:footnoteReference w:id="4"/>
      </w:r>
      <w:r w:rsidR="006B7D39" w:rsidRPr="009A2336">
        <w:rPr>
          <w:rFonts w:ascii="Helvetica" w:hAnsi="Helvetica" w:cs="Helvetica"/>
          <w:sz w:val="20"/>
          <w:szCs w:val="20"/>
        </w:rPr>
        <w:t xml:space="preserve">  In that time period, the employer must:</w:t>
      </w:r>
      <w:r w:rsidR="006B7D39" w:rsidRPr="17AED955">
        <w:rPr>
          <w:rStyle w:val="FootnoteReference"/>
          <w:rFonts w:ascii="Helvetica" w:eastAsiaTheme="minorEastAsia" w:hAnsi="Helvetica" w:cs="Helvetica"/>
          <w:sz w:val="20"/>
          <w:szCs w:val="20"/>
        </w:rPr>
        <w:footnoteReference w:id="5"/>
      </w:r>
      <w:r w:rsidR="006B7D39" w:rsidRPr="009A2336">
        <w:rPr>
          <w:rFonts w:ascii="Helvetica" w:hAnsi="Helvetica" w:cs="Helvetica"/>
          <w:sz w:val="20"/>
          <w:szCs w:val="20"/>
        </w:rPr>
        <w:t xml:space="preserve"> </w:t>
      </w:r>
    </w:p>
    <w:p w14:paraId="7E8F6F63" w14:textId="2856345D" w:rsidR="006B7D39" w:rsidRDefault="006B7D39" w:rsidP="6D4DA2E5">
      <w:pPr>
        <w:pStyle w:val="ListParagraph"/>
        <w:numPr>
          <w:ilvl w:val="0"/>
          <w:numId w:val="8"/>
        </w:numPr>
        <w:jc w:val="both"/>
        <w:rPr>
          <w:rFonts w:ascii="Helvetica" w:eastAsiaTheme="minorEastAsia" w:hAnsi="Helvetica" w:cs="Helvetica"/>
          <w:sz w:val="20"/>
        </w:rPr>
      </w:pPr>
      <w:r w:rsidRPr="6D4DA2E5">
        <w:rPr>
          <w:rFonts w:ascii="Helvetica" w:eastAsiaTheme="minorEastAsia" w:hAnsi="Helvetica" w:cs="Helvetica"/>
          <w:sz w:val="20"/>
        </w:rPr>
        <w:t>Provide paid time off to the excluded employees; and</w:t>
      </w:r>
    </w:p>
    <w:p w14:paraId="08D0D38C" w14:textId="28B3399E" w:rsidR="00B14714" w:rsidRDefault="31F4580A" w:rsidP="00764AAB">
      <w:pPr>
        <w:pStyle w:val="ListParagraph"/>
        <w:numPr>
          <w:ilvl w:val="0"/>
          <w:numId w:val="8"/>
        </w:numPr>
        <w:jc w:val="both"/>
        <w:rPr>
          <w:rFonts w:ascii="Helvetica" w:eastAsiaTheme="minorEastAsia" w:hAnsi="Helvetica" w:cs="Helvetica"/>
          <w:sz w:val="20"/>
        </w:rPr>
      </w:pPr>
      <w:r w:rsidRPr="6D4DA2E5">
        <w:rPr>
          <w:rFonts w:ascii="Helvetica" w:eastAsiaTheme="minorEastAsia" w:hAnsi="Helvetica" w:cs="Helvetica"/>
          <w:sz w:val="20"/>
        </w:rPr>
        <w:t>Hire</w:t>
      </w:r>
      <w:r w:rsidR="006B7D39" w:rsidRPr="6D4DA2E5">
        <w:rPr>
          <w:rFonts w:ascii="Helvetica" w:eastAsiaTheme="minorEastAsia" w:hAnsi="Helvetica" w:cs="Helvetica"/>
          <w:sz w:val="20"/>
        </w:rPr>
        <w:t xml:space="preserve"> (and potentially train) temporary help to fill those roles and pay their wages</w:t>
      </w:r>
      <w:r w:rsidR="00D209D6" w:rsidRPr="6D4DA2E5">
        <w:rPr>
          <w:rFonts w:ascii="Helvetica" w:eastAsiaTheme="minorEastAsia" w:hAnsi="Helvetica" w:cs="Helvetica"/>
          <w:sz w:val="20"/>
        </w:rPr>
        <w:t>, pay current employees overtime wages to make up that labor shortage,</w:t>
      </w:r>
      <w:r w:rsidR="006B7D39" w:rsidRPr="6D4DA2E5">
        <w:rPr>
          <w:rFonts w:ascii="Helvetica" w:eastAsiaTheme="minorEastAsia" w:hAnsi="Helvetica" w:cs="Helvetica"/>
          <w:sz w:val="20"/>
        </w:rPr>
        <w:t xml:space="preserve"> or shut down their business</w:t>
      </w:r>
      <w:r w:rsidR="00D0163E" w:rsidRPr="6D4DA2E5">
        <w:rPr>
          <w:rFonts w:ascii="Helvetica" w:eastAsiaTheme="minorEastAsia" w:hAnsi="Helvetica" w:cs="Helvetica"/>
          <w:sz w:val="20"/>
        </w:rPr>
        <w:t>.</w:t>
      </w:r>
      <w:r w:rsidR="006B7D39" w:rsidRPr="6D4DA2E5">
        <w:rPr>
          <w:rFonts w:ascii="Helvetica" w:eastAsiaTheme="minorEastAsia" w:hAnsi="Helvetica" w:cs="Helvetica"/>
          <w:sz w:val="20"/>
        </w:rPr>
        <w:t xml:space="preserve"> </w:t>
      </w:r>
    </w:p>
    <w:p w14:paraId="7EB62FDF" w14:textId="77777777" w:rsidR="00764AAB" w:rsidRPr="00764AAB" w:rsidRDefault="00764AAB" w:rsidP="00764AAB">
      <w:pPr>
        <w:pStyle w:val="ListParagraph"/>
        <w:jc w:val="both"/>
        <w:rPr>
          <w:rFonts w:ascii="Helvetica" w:eastAsiaTheme="minorEastAsia" w:hAnsi="Helvetica" w:cs="Helvetica"/>
          <w:sz w:val="20"/>
        </w:rPr>
      </w:pPr>
    </w:p>
    <w:p w14:paraId="2AD99B04" w14:textId="47B00BF6" w:rsidR="00BB44F2" w:rsidRPr="009A2336" w:rsidRDefault="00E81D5F" w:rsidP="009A2336">
      <w:pPr>
        <w:pStyle w:val="NoSpacing"/>
        <w:jc w:val="both"/>
        <w:rPr>
          <w:rFonts w:ascii="Helvetica" w:hAnsi="Helvetica" w:cs="Helvetica"/>
          <w:sz w:val="20"/>
          <w:szCs w:val="20"/>
        </w:rPr>
      </w:pPr>
      <w:r>
        <w:rPr>
          <w:rFonts w:ascii="Helvetica" w:hAnsi="Helvetica" w:cs="Helvetica"/>
          <w:sz w:val="20"/>
          <w:szCs w:val="20"/>
        </w:rPr>
        <w:t xml:space="preserve">Under the </w:t>
      </w:r>
      <w:r w:rsidR="00E74A10">
        <w:rPr>
          <w:rFonts w:ascii="Helvetica" w:hAnsi="Helvetica" w:cs="Helvetica"/>
          <w:sz w:val="20"/>
          <w:szCs w:val="20"/>
        </w:rPr>
        <w:t>R</w:t>
      </w:r>
      <w:r>
        <w:rPr>
          <w:rFonts w:ascii="Helvetica" w:hAnsi="Helvetica" w:cs="Helvetica"/>
          <w:sz w:val="20"/>
          <w:szCs w:val="20"/>
        </w:rPr>
        <w:t xml:space="preserve">egulations, a COVID case in the workplace is not limited to employees. Accordingly, an employer could literally be paying multiple groups of employees to stay off work for being “exposed” simply because an </w:t>
      </w:r>
      <w:r w:rsidR="261A260E">
        <w:rPr>
          <w:rFonts w:ascii="Helvetica" w:hAnsi="Helvetica" w:cs="Helvetica"/>
          <w:sz w:val="20"/>
          <w:szCs w:val="20"/>
        </w:rPr>
        <w:t>a</w:t>
      </w:r>
      <w:r>
        <w:rPr>
          <w:rFonts w:ascii="Helvetica" w:hAnsi="Helvetica" w:cs="Helvetica"/>
          <w:sz w:val="20"/>
          <w:szCs w:val="20"/>
        </w:rPr>
        <w:t xml:space="preserve">symptomatic customer came to their location. Unlike other leaves of absence, there is absolutely no limit in the Regulation on how many hours an employer must pay an employee due to exposure.  </w:t>
      </w:r>
      <w:r w:rsidR="00BF57CB" w:rsidRPr="009A2336">
        <w:rPr>
          <w:rFonts w:ascii="Helvetica" w:hAnsi="Helvetica" w:cs="Helvetica"/>
          <w:sz w:val="20"/>
          <w:szCs w:val="20"/>
        </w:rPr>
        <w:t xml:space="preserve">Because the ETS may be in effect until early 2022, this means California employers </w:t>
      </w:r>
      <w:r w:rsidR="001E4719" w:rsidRPr="009A2336">
        <w:rPr>
          <w:rFonts w:ascii="Helvetica" w:hAnsi="Helvetica" w:cs="Helvetica"/>
          <w:sz w:val="20"/>
          <w:szCs w:val="20"/>
        </w:rPr>
        <w:t xml:space="preserve">– including the smallest rural family businesses – </w:t>
      </w:r>
      <w:r w:rsidR="00B66F98" w:rsidRPr="009A2336">
        <w:rPr>
          <w:rFonts w:ascii="Helvetica" w:hAnsi="Helvetica" w:cs="Helvetica"/>
          <w:sz w:val="20"/>
          <w:szCs w:val="20"/>
        </w:rPr>
        <w:t xml:space="preserve">may end up paying </w:t>
      </w:r>
      <w:r w:rsidR="00F72CD9" w:rsidRPr="009A2336">
        <w:rPr>
          <w:rFonts w:ascii="Helvetica" w:hAnsi="Helvetica" w:cs="Helvetica"/>
          <w:sz w:val="20"/>
          <w:szCs w:val="20"/>
        </w:rPr>
        <w:t xml:space="preserve">for </w:t>
      </w:r>
      <w:r w:rsidR="00B66F98" w:rsidRPr="6D4DA2E5">
        <w:rPr>
          <w:rFonts w:ascii="Helvetica" w:hAnsi="Helvetica" w:cs="Helvetica"/>
          <w:i/>
          <w:iCs/>
          <w:sz w:val="20"/>
          <w:szCs w:val="20"/>
        </w:rPr>
        <w:t>months</w:t>
      </w:r>
      <w:r w:rsidR="00B66F98" w:rsidRPr="009A2336">
        <w:rPr>
          <w:rFonts w:ascii="Helvetica" w:hAnsi="Helvetica" w:cs="Helvetica"/>
          <w:sz w:val="20"/>
          <w:szCs w:val="20"/>
        </w:rPr>
        <w:t xml:space="preserve"> of paid time off to employees </w:t>
      </w:r>
      <w:r w:rsidR="00764CE2" w:rsidRPr="009A2336">
        <w:rPr>
          <w:rFonts w:ascii="Helvetica" w:hAnsi="Helvetica" w:cs="Helvetica"/>
          <w:sz w:val="20"/>
          <w:szCs w:val="20"/>
        </w:rPr>
        <w:t xml:space="preserve">who never catch COVID-19 – all </w:t>
      </w:r>
      <w:r w:rsidR="00B66F98" w:rsidRPr="009A2336">
        <w:rPr>
          <w:rFonts w:ascii="Helvetica" w:hAnsi="Helvetica" w:cs="Helvetica"/>
          <w:sz w:val="20"/>
          <w:szCs w:val="20"/>
        </w:rPr>
        <w:t>while simultaneously paying their replacements</w:t>
      </w:r>
      <w:r w:rsidR="009F1EB4">
        <w:rPr>
          <w:rFonts w:ascii="Helvetica" w:hAnsi="Helvetica" w:cs="Helvetica"/>
          <w:sz w:val="20"/>
          <w:szCs w:val="20"/>
        </w:rPr>
        <w:t>.</w:t>
      </w:r>
      <w:r>
        <w:rPr>
          <w:rStyle w:val="FootnoteReference"/>
          <w:rFonts w:ascii="Helvetica" w:hAnsi="Helvetica" w:cs="Helvetica"/>
          <w:sz w:val="20"/>
          <w:szCs w:val="20"/>
        </w:rPr>
        <w:footnoteReference w:id="6"/>
      </w:r>
      <w:r w:rsidR="00295932">
        <w:rPr>
          <w:rFonts w:ascii="Helvetica" w:hAnsi="Helvetica" w:cs="Helvetica"/>
          <w:sz w:val="20"/>
          <w:szCs w:val="20"/>
        </w:rPr>
        <w:t xml:space="preserve"> And this paid leave will exist entirely outside of California’s existing framework of paid and unpaid sick leave.</w:t>
      </w:r>
      <w:r w:rsidR="00295932">
        <w:rPr>
          <w:rStyle w:val="FootnoteReference"/>
          <w:rFonts w:ascii="Helvetica" w:hAnsi="Helvetica" w:cs="Helvetica"/>
          <w:sz w:val="20"/>
          <w:szCs w:val="20"/>
        </w:rPr>
        <w:footnoteReference w:id="7"/>
      </w:r>
    </w:p>
    <w:p w14:paraId="7D311EBE" w14:textId="60756478" w:rsidR="00C814EF" w:rsidRPr="009A2336" w:rsidRDefault="00C814EF" w:rsidP="009A2336">
      <w:pPr>
        <w:pStyle w:val="NoSpacing"/>
        <w:jc w:val="both"/>
        <w:rPr>
          <w:rFonts w:ascii="Helvetica" w:hAnsi="Helvetica" w:cs="Helvetica"/>
          <w:sz w:val="20"/>
          <w:szCs w:val="20"/>
        </w:rPr>
      </w:pPr>
    </w:p>
    <w:p w14:paraId="7B489290" w14:textId="4EB1ABF2" w:rsidR="00BB44F2" w:rsidRPr="009A2336" w:rsidRDefault="009F1EB4" w:rsidP="009A2336">
      <w:pPr>
        <w:pStyle w:val="NoSpacing"/>
        <w:jc w:val="both"/>
        <w:rPr>
          <w:rFonts w:ascii="Helvetica" w:hAnsi="Helvetica" w:cs="Helvetica"/>
          <w:sz w:val="20"/>
          <w:szCs w:val="20"/>
        </w:rPr>
      </w:pPr>
      <w:r w:rsidRPr="6D4DA2E5">
        <w:rPr>
          <w:rFonts w:ascii="Helvetica" w:hAnsi="Helvetica" w:cs="Helvetica"/>
          <w:sz w:val="20"/>
          <w:szCs w:val="20"/>
        </w:rPr>
        <w:t>Or more likely</w:t>
      </w:r>
      <w:r w:rsidR="006104B7" w:rsidRPr="6D4DA2E5">
        <w:rPr>
          <w:rFonts w:ascii="Helvetica" w:hAnsi="Helvetica" w:cs="Helvetica"/>
          <w:sz w:val="20"/>
          <w:szCs w:val="20"/>
        </w:rPr>
        <w:t xml:space="preserve">, if an employer cannot </w:t>
      </w:r>
      <w:r w:rsidR="00D0163E" w:rsidRPr="6D4DA2E5">
        <w:rPr>
          <w:rFonts w:ascii="Helvetica" w:hAnsi="Helvetica" w:cs="Helvetica"/>
          <w:sz w:val="20"/>
          <w:szCs w:val="20"/>
        </w:rPr>
        <w:t xml:space="preserve">quickly </w:t>
      </w:r>
      <w:r w:rsidR="006104B7" w:rsidRPr="6D4DA2E5">
        <w:rPr>
          <w:rFonts w:ascii="Helvetica" w:hAnsi="Helvetica" w:cs="Helvetica"/>
          <w:sz w:val="20"/>
          <w:szCs w:val="20"/>
        </w:rPr>
        <w:t>locate, hire, and train sufficient replacements for their workplace to fill the critical duties of these excluded workers</w:t>
      </w:r>
      <w:r w:rsidRPr="6D4DA2E5">
        <w:rPr>
          <w:rFonts w:ascii="Helvetica" w:hAnsi="Helvetica" w:cs="Helvetica"/>
          <w:sz w:val="20"/>
          <w:szCs w:val="20"/>
        </w:rPr>
        <w:t>, then</w:t>
      </w:r>
      <w:r w:rsidR="006104B7" w:rsidRPr="6D4DA2E5">
        <w:rPr>
          <w:rFonts w:ascii="Helvetica" w:hAnsi="Helvetica" w:cs="Helvetica"/>
          <w:sz w:val="20"/>
          <w:szCs w:val="20"/>
        </w:rPr>
        <w:t xml:space="preserve"> the employer</w:t>
      </w:r>
      <w:r w:rsidRPr="6D4DA2E5">
        <w:rPr>
          <w:rFonts w:ascii="Helvetica" w:hAnsi="Helvetica" w:cs="Helvetica"/>
          <w:sz w:val="20"/>
          <w:szCs w:val="20"/>
        </w:rPr>
        <w:t xml:space="preserve"> will</w:t>
      </w:r>
      <w:r w:rsidR="006104B7" w:rsidRPr="6D4DA2E5">
        <w:rPr>
          <w:rFonts w:ascii="Helvetica" w:hAnsi="Helvetica" w:cs="Helvetica"/>
          <w:sz w:val="20"/>
          <w:szCs w:val="20"/>
        </w:rPr>
        <w:t xml:space="preserve"> </w:t>
      </w:r>
      <w:r w:rsidRPr="6D4DA2E5">
        <w:rPr>
          <w:rFonts w:ascii="Helvetica" w:hAnsi="Helvetica" w:cs="Helvetica"/>
          <w:sz w:val="20"/>
          <w:szCs w:val="20"/>
        </w:rPr>
        <w:t xml:space="preserve">have </w:t>
      </w:r>
      <w:r w:rsidR="006104B7" w:rsidRPr="6D4DA2E5">
        <w:rPr>
          <w:rFonts w:ascii="Helvetica" w:hAnsi="Helvetica" w:cs="Helvetica"/>
          <w:sz w:val="20"/>
          <w:szCs w:val="20"/>
        </w:rPr>
        <w:t>no option but to shut down that production line for the duration of the exclusion</w:t>
      </w:r>
      <w:r w:rsidR="00AB128B" w:rsidRPr="6D4DA2E5">
        <w:rPr>
          <w:rFonts w:ascii="Helvetica" w:hAnsi="Helvetica" w:cs="Helvetica"/>
          <w:sz w:val="20"/>
          <w:szCs w:val="20"/>
        </w:rPr>
        <w:t xml:space="preserve">. </w:t>
      </w:r>
      <w:r w:rsidR="006104B7" w:rsidRPr="6D4DA2E5">
        <w:rPr>
          <w:rFonts w:ascii="Helvetica" w:hAnsi="Helvetica" w:cs="Helvetica"/>
          <w:sz w:val="20"/>
          <w:szCs w:val="20"/>
        </w:rPr>
        <w:t xml:space="preserve">In critical </w:t>
      </w:r>
      <w:r w:rsidR="00EF55D4" w:rsidRPr="6D4DA2E5">
        <w:rPr>
          <w:rFonts w:ascii="Helvetica" w:hAnsi="Helvetica" w:cs="Helvetica"/>
          <w:sz w:val="20"/>
          <w:szCs w:val="20"/>
        </w:rPr>
        <w:t xml:space="preserve">industries, these exclusions and shutdowns </w:t>
      </w:r>
      <w:r w:rsidRPr="6D4DA2E5">
        <w:rPr>
          <w:rFonts w:ascii="Helvetica" w:hAnsi="Helvetica" w:cs="Helvetica"/>
          <w:sz w:val="20"/>
          <w:szCs w:val="20"/>
        </w:rPr>
        <w:t xml:space="preserve">will </w:t>
      </w:r>
      <w:r w:rsidR="00EF55D4" w:rsidRPr="6D4DA2E5">
        <w:rPr>
          <w:rFonts w:ascii="Helvetica" w:hAnsi="Helvetica" w:cs="Helvetica"/>
          <w:sz w:val="20"/>
          <w:szCs w:val="20"/>
        </w:rPr>
        <w:t>slow down the production and distribution of essential goods, such as food and medical supplies</w:t>
      </w:r>
      <w:r w:rsidR="00AB128B" w:rsidRPr="6D4DA2E5">
        <w:rPr>
          <w:rFonts w:ascii="Helvetica" w:hAnsi="Helvetica" w:cs="Helvetica"/>
          <w:sz w:val="20"/>
          <w:szCs w:val="20"/>
        </w:rPr>
        <w:t>.</w:t>
      </w:r>
    </w:p>
    <w:p w14:paraId="347C2DCF" w14:textId="1AF63BB6" w:rsidR="00814937" w:rsidRDefault="00814937" w:rsidP="00A5501D">
      <w:pPr>
        <w:jc w:val="both"/>
        <w:rPr>
          <w:rFonts w:ascii="Helvetica" w:eastAsiaTheme="minorHAnsi" w:hAnsi="Helvetica" w:cs="Helvetica"/>
          <w:sz w:val="20"/>
        </w:rPr>
      </w:pPr>
    </w:p>
    <w:p w14:paraId="5377F57A" w14:textId="468A9CE4" w:rsidR="005520C2" w:rsidRPr="009A2336" w:rsidRDefault="00814937" w:rsidP="009A2336">
      <w:pPr>
        <w:pStyle w:val="NoSpacing"/>
        <w:jc w:val="both"/>
        <w:rPr>
          <w:rFonts w:ascii="Helvetica" w:hAnsi="Helvetica" w:cs="Helvetica"/>
          <w:sz w:val="20"/>
          <w:szCs w:val="20"/>
        </w:rPr>
      </w:pPr>
      <w:r w:rsidRPr="6D4DA2E5">
        <w:rPr>
          <w:rFonts w:ascii="Helvetica" w:hAnsi="Helvetica" w:cs="Helvetica"/>
          <w:sz w:val="20"/>
          <w:szCs w:val="20"/>
        </w:rPr>
        <w:t xml:space="preserve">We urge the </w:t>
      </w:r>
      <w:r w:rsidR="00E81D5F" w:rsidRPr="6D4DA2E5">
        <w:rPr>
          <w:rFonts w:ascii="Helvetica" w:hAnsi="Helvetica" w:cs="Helvetica"/>
          <w:sz w:val="20"/>
          <w:szCs w:val="20"/>
        </w:rPr>
        <w:t>L</w:t>
      </w:r>
      <w:r w:rsidRPr="6D4DA2E5">
        <w:rPr>
          <w:rFonts w:ascii="Helvetica" w:hAnsi="Helvetica" w:cs="Helvetica"/>
          <w:sz w:val="20"/>
          <w:szCs w:val="20"/>
        </w:rPr>
        <w:t xml:space="preserve">egislature to </w:t>
      </w:r>
      <w:r w:rsidR="00F52850" w:rsidRPr="6D4DA2E5">
        <w:rPr>
          <w:rFonts w:ascii="Helvetica" w:hAnsi="Helvetica" w:cs="Helvetica"/>
          <w:sz w:val="20"/>
          <w:szCs w:val="20"/>
        </w:rPr>
        <w:t xml:space="preserve">take action to </w:t>
      </w:r>
      <w:r w:rsidR="00E73131" w:rsidRPr="6D4DA2E5">
        <w:rPr>
          <w:rFonts w:ascii="Helvetica" w:hAnsi="Helvetica" w:cs="Helvetica"/>
          <w:sz w:val="20"/>
          <w:szCs w:val="20"/>
        </w:rPr>
        <w:t xml:space="preserve">place at least some limitations on this uncapped obligation, such that employers are not forced to provide potentially months of </w:t>
      </w:r>
      <w:r w:rsidR="008765F2" w:rsidRPr="6D4DA2E5">
        <w:rPr>
          <w:rFonts w:ascii="Helvetica" w:hAnsi="Helvetica" w:cs="Helvetica"/>
          <w:sz w:val="20"/>
          <w:szCs w:val="20"/>
        </w:rPr>
        <w:t xml:space="preserve">pay to excluded employees who </w:t>
      </w:r>
      <w:r w:rsidR="00A24B45" w:rsidRPr="6D4DA2E5">
        <w:rPr>
          <w:rFonts w:ascii="Helvetica" w:hAnsi="Helvetica" w:cs="Helvetica"/>
          <w:sz w:val="20"/>
          <w:szCs w:val="20"/>
        </w:rPr>
        <w:t xml:space="preserve">are not sick, while simultaneously paying a second workforce to </w:t>
      </w:r>
      <w:r w:rsidR="009A2336" w:rsidRPr="6D4DA2E5">
        <w:rPr>
          <w:rFonts w:ascii="Helvetica" w:hAnsi="Helvetica" w:cs="Helvetica"/>
          <w:sz w:val="20"/>
          <w:szCs w:val="20"/>
        </w:rPr>
        <w:t>take</w:t>
      </w:r>
      <w:r w:rsidR="00A24B45" w:rsidRPr="6D4DA2E5">
        <w:rPr>
          <w:rFonts w:ascii="Helvetica" w:hAnsi="Helvetica" w:cs="Helvetica"/>
          <w:sz w:val="20"/>
          <w:szCs w:val="20"/>
        </w:rPr>
        <w:t xml:space="preserve"> their places</w:t>
      </w:r>
      <w:r w:rsidR="00AB128B" w:rsidRPr="6D4DA2E5">
        <w:rPr>
          <w:rFonts w:ascii="Helvetica" w:hAnsi="Helvetica" w:cs="Helvetica"/>
          <w:sz w:val="20"/>
          <w:szCs w:val="20"/>
        </w:rPr>
        <w:t xml:space="preserve">. </w:t>
      </w:r>
      <w:r w:rsidR="002215D3" w:rsidRPr="6D4DA2E5">
        <w:rPr>
          <w:rFonts w:ascii="Helvetica" w:hAnsi="Helvetica" w:cs="Helvetica"/>
          <w:sz w:val="20"/>
          <w:szCs w:val="20"/>
        </w:rPr>
        <w:t xml:space="preserve">There are </w:t>
      </w:r>
      <w:proofErr w:type="gramStart"/>
      <w:r w:rsidR="002215D3" w:rsidRPr="6D4DA2E5">
        <w:rPr>
          <w:rFonts w:ascii="Helvetica" w:hAnsi="Helvetica" w:cs="Helvetica"/>
          <w:sz w:val="20"/>
          <w:szCs w:val="20"/>
        </w:rPr>
        <w:t>a number of</w:t>
      </w:r>
      <w:proofErr w:type="gramEnd"/>
      <w:r w:rsidR="002215D3" w:rsidRPr="6D4DA2E5">
        <w:rPr>
          <w:rFonts w:ascii="Helvetica" w:hAnsi="Helvetica" w:cs="Helvetica"/>
          <w:sz w:val="20"/>
          <w:szCs w:val="20"/>
        </w:rPr>
        <w:t xml:space="preserve"> forms such a solution could take</w:t>
      </w:r>
      <w:r w:rsidR="00A22E46">
        <w:rPr>
          <w:rFonts w:ascii="Helvetica" w:hAnsi="Helvetica" w:cs="Helvetica"/>
          <w:sz w:val="20"/>
          <w:szCs w:val="20"/>
        </w:rPr>
        <w:t xml:space="preserve"> </w:t>
      </w:r>
      <w:r w:rsidR="002215D3" w:rsidRPr="6D4DA2E5">
        <w:rPr>
          <w:rFonts w:ascii="Helvetica" w:hAnsi="Helvetica" w:cs="Helvetica"/>
          <w:sz w:val="20"/>
          <w:szCs w:val="20"/>
        </w:rPr>
        <w:t>–</w:t>
      </w:r>
      <w:r w:rsidR="00A22E46">
        <w:rPr>
          <w:rFonts w:ascii="Helvetica" w:hAnsi="Helvetica" w:cs="Helvetica"/>
          <w:sz w:val="20"/>
          <w:szCs w:val="20"/>
        </w:rPr>
        <w:t xml:space="preserve"> </w:t>
      </w:r>
      <w:r w:rsidR="002215D3" w:rsidRPr="6D4DA2E5">
        <w:rPr>
          <w:rFonts w:ascii="Helvetica" w:hAnsi="Helvetica" w:cs="Helvetica"/>
          <w:sz w:val="20"/>
          <w:szCs w:val="20"/>
        </w:rPr>
        <w:t>but unlimited paid leave is simply not feasible for California’s struggling employers.</w:t>
      </w:r>
    </w:p>
    <w:p w14:paraId="09539862" w14:textId="4B3840F2" w:rsidR="00AB2150" w:rsidRDefault="00BF57CB" w:rsidP="00A5501D">
      <w:pPr>
        <w:jc w:val="both"/>
        <w:rPr>
          <w:rFonts w:ascii="Helvetica" w:eastAsiaTheme="minorHAnsi" w:hAnsi="Helvetica" w:cs="Helvetica"/>
          <w:sz w:val="20"/>
        </w:rPr>
      </w:pPr>
      <w:r w:rsidRPr="00A5501D">
        <w:rPr>
          <w:rFonts w:ascii="Helvetica" w:eastAsiaTheme="minorHAnsi" w:hAnsi="Helvetica" w:cs="Helvetica"/>
          <w:sz w:val="20"/>
        </w:rPr>
        <w:t xml:space="preserve">  </w:t>
      </w:r>
    </w:p>
    <w:p w14:paraId="06B361D2" w14:textId="7D0EB6DE" w:rsidR="002215D3" w:rsidRPr="009A2336" w:rsidRDefault="00C41559" w:rsidP="009A2336">
      <w:pPr>
        <w:pStyle w:val="NoSpacing"/>
        <w:jc w:val="both"/>
        <w:rPr>
          <w:rFonts w:ascii="Helvetica" w:hAnsi="Helvetica" w:cs="Helvetica"/>
          <w:sz w:val="20"/>
          <w:szCs w:val="20"/>
        </w:rPr>
      </w:pPr>
      <w:r w:rsidRPr="009A2336">
        <w:rPr>
          <w:rFonts w:ascii="Helvetica" w:hAnsi="Helvetica" w:cs="Helvetica"/>
          <w:b/>
          <w:bCs/>
          <w:sz w:val="20"/>
          <w:szCs w:val="20"/>
        </w:rPr>
        <w:t>Employers Cannot Compel</w:t>
      </w:r>
      <w:r w:rsidR="00C44031" w:rsidRPr="009A2336">
        <w:rPr>
          <w:rFonts w:ascii="Helvetica" w:hAnsi="Helvetica" w:cs="Helvetica"/>
          <w:b/>
          <w:bCs/>
          <w:sz w:val="20"/>
          <w:szCs w:val="20"/>
        </w:rPr>
        <w:t xml:space="preserve"> Use </w:t>
      </w:r>
      <w:r w:rsidR="005D2600">
        <w:rPr>
          <w:rFonts w:ascii="Helvetica" w:hAnsi="Helvetica" w:cs="Helvetica"/>
          <w:b/>
          <w:bCs/>
          <w:sz w:val="20"/>
          <w:szCs w:val="20"/>
        </w:rPr>
        <w:t>o</w:t>
      </w:r>
      <w:r w:rsidR="00C44031" w:rsidRPr="009A2336">
        <w:rPr>
          <w:rFonts w:ascii="Helvetica" w:hAnsi="Helvetica" w:cs="Helvetica"/>
          <w:b/>
          <w:bCs/>
          <w:sz w:val="20"/>
          <w:szCs w:val="20"/>
        </w:rPr>
        <w:t>f</w:t>
      </w:r>
      <w:r w:rsidR="00140A27" w:rsidRPr="009A2336">
        <w:rPr>
          <w:rFonts w:ascii="Helvetica" w:hAnsi="Helvetica" w:cs="Helvetica"/>
          <w:b/>
          <w:bCs/>
          <w:sz w:val="20"/>
          <w:szCs w:val="20"/>
        </w:rPr>
        <w:t xml:space="preserve"> Sick Leave – </w:t>
      </w:r>
      <w:r w:rsidR="00B23F9E" w:rsidRPr="009A2336">
        <w:rPr>
          <w:rFonts w:ascii="Helvetica" w:hAnsi="Helvetica" w:cs="Helvetica"/>
          <w:sz w:val="20"/>
          <w:szCs w:val="20"/>
        </w:rPr>
        <w:t xml:space="preserve">In response to </w:t>
      </w:r>
      <w:r w:rsidR="002215D3" w:rsidRPr="009A2336">
        <w:rPr>
          <w:rFonts w:ascii="Helvetica" w:hAnsi="Helvetica" w:cs="Helvetica"/>
          <w:sz w:val="20"/>
          <w:szCs w:val="20"/>
        </w:rPr>
        <w:t>comments regarding the feasibility of this provision</w:t>
      </w:r>
      <w:r w:rsidR="00B23F9E" w:rsidRPr="009A2336">
        <w:rPr>
          <w:rFonts w:ascii="Helvetica" w:hAnsi="Helvetica" w:cs="Helvetica"/>
          <w:sz w:val="20"/>
          <w:szCs w:val="20"/>
        </w:rPr>
        <w:t xml:space="preserve">, Cal/OSHA has repeatedly suggested that employers may </w:t>
      </w:r>
      <w:r w:rsidR="00B23F9E" w:rsidRPr="6D4DA2E5">
        <w:rPr>
          <w:rFonts w:ascii="Helvetica" w:hAnsi="Helvetica" w:cs="Helvetica"/>
          <w:i/>
          <w:iCs/>
          <w:sz w:val="20"/>
          <w:szCs w:val="20"/>
        </w:rPr>
        <w:t xml:space="preserve">compel </w:t>
      </w:r>
      <w:r w:rsidR="00B23F9E" w:rsidRPr="009A2336">
        <w:rPr>
          <w:rFonts w:ascii="Helvetica" w:hAnsi="Helvetica" w:cs="Helvetica"/>
          <w:sz w:val="20"/>
          <w:szCs w:val="20"/>
        </w:rPr>
        <w:t xml:space="preserve">employees to utilize existing paid sick leave </w:t>
      </w:r>
      <w:r w:rsidR="00B23F9E" w:rsidRPr="6D4DA2E5">
        <w:rPr>
          <w:rFonts w:ascii="Helvetica" w:hAnsi="Helvetica" w:cs="Helvetica"/>
          <w:i/>
          <w:iCs/>
          <w:sz w:val="20"/>
          <w:szCs w:val="20"/>
        </w:rPr>
        <w:t>before</w:t>
      </w:r>
      <w:r w:rsidR="00B23F9E" w:rsidRPr="009A2336">
        <w:rPr>
          <w:rFonts w:ascii="Helvetica" w:hAnsi="Helvetica" w:cs="Helvetica"/>
          <w:sz w:val="20"/>
          <w:szCs w:val="20"/>
        </w:rPr>
        <w:t xml:space="preserve"> the employer is required to provide the uncapped sick leave discussed above</w:t>
      </w:r>
      <w:r w:rsidR="00AB128B">
        <w:rPr>
          <w:rFonts w:ascii="Helvetica" w:hAnsi="Helvetica" w:cs="Helvetica"/>
          <w:sz w:val="20"/>
          <w:szCs w:val="20"/>
        </w:rPr>
        <w:t xml:space="preserve">. </w:t>
      </w:r>
      <w:r w:rsidR="00403581" w:rsidRPr="009A2336">
        <w:rPr>
          <w:rFonts w:ascii="Helvetica" w:hAnsi="Helvetica" w:cs="Helvetica"/>
          <w:sz w:val="20"/>
          <w:szCs w:val="20"/>
        </w:rPr>
        <w:t xml:space="preserve">These suggestions have come in the text of the </w:t>
      </w:r>
      <w:r w:rsidR="00960E5E">
        <w:rPr>
          <w:rFonts w:ascii="Helvetica" w:hAnsi="Helvetica" w:cs="Helvetica"/>
          <w:sz w:val="20"/>
          <w:szCs w:val="20"/>
        </w:rPr>
        <w:t>R</w:t>
      </w:r>
      <w:r w:rsidR="00960E5E" w:rsidRPr="009A2336">
        <w:rPr>
          <w:rFonts w:ascii="Helvetica" w:hAnsi="Helvetica" w:cs="Helvetica"/>
          <w:sz w:val="20"/>
          <w:szCs w:val="20"/>
        </w:rPr>
        <w:t>egulation</w:t>
      </w:r>
      <w:r w:rsidR="00403581" w:rsidRPr="009A2336">
        <w:rPr>
          <w:rFonts w:ascii="Helvetica" w:hAnsi="Helvetica" w:cs="Helvetica"/>
          <w:sz w:val="20"/>
          <w:szCs w:val="20"/>
        </w:rPr>
        <w:t>, as well as the supporting Frequently Asked Questions (FAQ) document.</w:t>
      </w:r>
      <w:r w:rsidR="00EC055E" w:rsidRPr="6D4DA2E5">
        <w:rPr>
          <w:rStyle w:val="FootnoteReference"/>
          <w:rFonts w:ascii="Helvetica" w:eastAsiaTheme="minorEastAsia" w:hAnsi="Helvetica" w:cs="Helvetica"/>
          <w:sz w:val="20"/>
          <w:szCs w:val="20"/>
        </w:rPr>
        <w:footnoteReference w:id="8"/>
      </w:r>
      <w:r w:rsidR="00B23F9E" w:rsidRPr="009A2336">
        <w:rPr>
          <w:rFonts w:ascii="Helvetica" w:hAnsi="Helvetica" w:cs="Helvetica"/>
          <w:sz w:val="20"/>
          <w:szCs w:val="20"/>
        </w:rPr>
        <w:t xml:space="preserve">  </w:t>
      </w:r>
    </w:p>
    <w:p w14:paraId="1BD1F8EF" w14:textId="77777777" w:rsidR="002215D3" w:rsidRDefault="002215D3" w:rsidP="00B23F9E">
      <w:pPr>
        <w:jc w:val="both"/>
        <w:rPr>
          <w:rFonts w:ascii="Helvetica" w:eastAsiaTheme="minorHAnsi" w:hAnsi="Helvetica" w:cs="Helvetica"/>
          <w:sz w:val="20"/>
        </w:rPr>
      </w:pPr>
    </w:p>
    <w:p w14:paraId="7F2BDAE0" w14:textId="76423ED3" w:rsidR="00A5501D" w:rsidRPr="009A2336" w:rsidRDefault="00E81D5F" w:rsidP="009A2336">
      <w:pPr>
        <w:pStyle w:val="NoSpacing"/>
        <w:jc w:val="both"/>
        <w:rPr>
          <w:rFonts w:ascii="Helvetica" w:hAnsi="Helvetica" w:cs="Helvetica"/>
          <w:sz w:val="20"/>
          <w:szCs w:val="20"/>
        </w:rPr>
      </w:pPr>
      <w:r>
        <w:rPr>
          <w:rFonts w:ascii="Helvetica" w:hAnsi="Helvetica" w:cs="Helvetica"/>
          <w:sz w:val="20"/>
          <w:szCs w:val="20"/>
        </w:rPr>
        <w:t>While this may help alleviate some of the burden</w:t>
      </w:r>
      <w:r w:rsidR="00B23F9E" w:rsidRPr="009A2336">
        <w:rPr>
          <w:rFonts w:ascii="Helvetica" w:hAnsi="Helvetica" w:cs="Helvetica"/>
          <w:sz w:val="20"/>
          <w:szCs w:val="20"/>
        </w:rPr>
        <w:t xml:space="preserve">, we </w:t>
      </w:r>
      <w:r w:rsidR="002215D3" w:rsidRPr="009A2336">
        <w:rPr>
          <w:rFonts w:ascii="Helvetica" w:hAnsi="Helvetica" w:cs="Helvetica"/>
          <w:sz w:val="20"/>
          <w:szCs w:val="20"/>
        </w:rPr>
        <w:t xml:space="preserve">are concerned that </w:t>
      </w:r>
      <w:r w:rsidR="009B3D1C" w:rsidRPr="009A2336">
        <w:rPr>
          <w:rFonts w:ascii="Helvetica" w:hAnsi="Helvetica" w:cs="Helvetica"/>
          <w:sz w:val="20"/>
          <w:szCs w:val="20"/>
        </w:rPr>
        <w:t xml:space="preserve">it is, in fact, not permissible under present law. </w:t>
      </w:r>
      <w:r>
        <w:rPr>
          <w:rFonts w:ascii="Helvetica" w:hAnsi="Helvetica" w:cs="Helvetica"/>
          <w:sz w:val="20"/>
          <w:szCs w:val="20"/>
        </w:rPr>
        <w:t xml:space="preserve">As set forth in Labor Code </w:t>
      </w:r>
      <w:r w:rsidR="0009598D">
        <w:rPr>
          <w:rFonts w:ascii="Helvetica" w:hAnsi="Helvetica" w:cs="Helvetica"/>
          <w:sz w:val="20"/>
          <w:szCs w:val="20"/>
        </w:rPr>
        <w:t>S</w:t>
      </w:r>
      <w:r>
        <w:rPr>
          <w:rFonts w:ascii="Helvetica" w:hAnsi="Helvetica" w:cs="Helvetica"/>
          <w:sz w:val="20"/>
          <w:szCs w:val="20"/>
        </w:rPr>
        <w:t>ection</w:t>
      </w:r>
      <w:r w:rsidR="00CE44FB">
        <w:rPr>
          <w:rFonts w:ascii="Helvetica" w:hAnsi="Helvetica" w:cs="Helvetica"/>
          <w:sz w:val="20"/>
          <w:szCs w:val="20"/>
        </w:rPr>
        <w:t>s</w:t>
      </w:r>
      <w:r>
        <w:rPr>
          <w:rFonts w:ascii="Helvetica" w:hAnsi="Helvetica" w:cs="Helvetica"/>
          <w:sz w:val="20"/>
          <w:szCs w:val="20"/>
        </w:rPr>
        <w:t xml:space="preserve"> 233</w:t>
      </w:r>
      <w:r w:rsidR="00CE44FB">
        <w:rPr>
          <w:rFonts w:ascii="Helvetica" w:hAnsi="Helvetica" w:cs="Helvetica"/>
          <w:sz w:val="20"/>
          <w:szCs w:val="20"/>
        </w:rPr>
        <w:t xml:space="preserve"> and 246</w:t>
      </w:r>
      <w:r>
        <w:rPr>
          <w:rFonts w:ascii="Helvetica" w:hAnsi="Helvetica" w:cs="Helvetica"/>
          <w:sz w:val="20"/>
          <w:szCs w:val="20"/>
        </w:rPr>
        <w:t xml:space="preserve"> and the Division of Labor Standards Enforcement</w:t>
      </w:r>
      <w:r w:rsidR="00CE44FB">
        <w:rPr>
          <w:rFonts w:ascii="Helvetica" w:hAnsi="Helvetica" w:cs="Helvetica"/>
          <w:sz w:val="20"/>
          <w:szCs w:val="20"/>
        </w:rPr>
        <w:t xml:space="preserve"> Manual and FAQ’s</w:t>
      </w:r>
      <w:r>
        <w:rPr>
          <w:rFonts w:ascii="Helvetica" w:hAnsi="Helvetica" w:cs="Helvetica"/>
          <w:sz w:val="20"/>
          <w:szCs w:val="20"/>
        </w:rPr>
        <w:t>, it is the employee’s decision of whether to utilize paid sick leave.</w:t>
      </w:r>
      <w:r w:rsidR="00403581" w:rsidRPr="009A2336">
        <w:rPr>
          <w:rStyle w:val="FootnoteReference"/>
          <w:rFonts w:ascii="Helvetica" w:eastAsiaTheme="minorHAnsi" w:hAnsi="Helvetica" w:cs="Helvetica"/>
          <w:sz w:val="20"/>
          <w:szCs w:val="20"/>
        </w:rPr>
        <w:footnoteReference w:id="9"/>
      </w:r>
      <w:r w:rsidR="056C98A7" w:rsidRPr="009A2336" w:rsidDel="00E81D5F">
        <w:rPr>
          <w:rFonts w:ascii="Helvetica" w:hAnsi="Helvetica" w:cs="Helvetica"/>
          <w:sz w:val="20"/>
          <w:szCs w:val="20"/>
        </w:rPr>
        <w:t xml:space="preserve"> </w:t>
      </w:r>
      <w:r w:rsidR="005A0F49">
        <w:rPr>
          <w:rFonts w:ascii="Helvetica" w:hAnsi="Helvetica" w:cs="Helvetica"/>
          <w:sz w:val="20"/>
          <w:szCs w:val="20"/>
        </w:rPr>
        <w:t>Accordingly, employers cannot compel employees to utilize existing paid sick leave and therefore, this response by Cal</w:t>
      </w:r>
      <w:r w:rsidR="0009598D">
        <w:rPr>
          <w:rFonts w:ascii="Helvetica" w:hAnsi="Helvetica" w:cs="Helvetica"/>
          <w:sz w:val="20"/>
          <w:szCs w:val="20"/>
        </w:rPr>
        <w:t>/</w:t>
      </w:r>
      <w:r w:rsidR="005A0F49">
        <w:rPr>
          <w:rFonts w:ascii="Helvetica" w:hAnsi="Helvetica" w:cs="Helvetica"/>
          <w:sz w:val="20"/>
          <w:szCs w:val="20"/>
        </w:rPr>
        <w:t>OSHA provides no relief to employers.</w:t>
      </w:r>
      <w:r w:rsidR="056C98A7" w:rsidRPr="009A2336" w:rsidDel="00E81D5F">
        <w:rPr>
          <w:rFonts w:ascii="Helvetica" w:hAnsi="Helvetica" w:cs="Helvetica"/>
          <w:sz w:val="20"/>
          <w:szCs w:val="20"/>
        </w:rPr>
        <w:t xml:space="preserve"> </w:t>
      </w:r>
    </w:p>
    <w:p w14:paraId="7B566465" w14:textId="77777777" w:rsidR="00134DEA" w:rsidRPr="00B23F9E" w:rsidRDefault="00134DEA" w:rsidP="00B23F9E">
      <w:pPr>
        <w:jc w:val="both"/>
        <w:rPr>
          <w:rFonts w:ascii="Helvetica" w:eastAsiaTheme="minorHAnsi" w:hAnsi="Helvetica" w:cs="Helvetica"/>
          <w:b/>
          <w:bCs/>
          <w:sz w:val="20"/>
        </w:rPr>
      </w:pPr>
    </w:p>
    <w:p w14:paraId="1EDEA645" w14:textId="2C71F3E7" w:rsidR="007544D9" w:rsidRPr="009A2336" w:rsidRDefault="0062028B" w:rsidP="009A2336">
      <w:pPr>
        <w:pStyle w:val="NoSpacing"/>
        <w:jc w:val="both"/>
        <w:rPr>
          <w:rFonts w:ascii="Helvetica" w:hAnsi="Helvetica" w:cs="Helvetica"/>
          <w:sz w:val="20"/>
          <w:szCs w:val="20"/>
        </w:rPr>
      </w:pPr>
      <w:r w:rsidRPr="009A2336">
        <w:rPr>
          <w:rFonts w:ascii="Helvetica" w:hAnsi="Helvetica" w:cs="Helvetica"/>
          <w:b/>
          <w:bCs/>
          <w:sz w:val="20"/>
          <w:szCs w:val="20"/>
        </w:rPr>
        <w:t xml:space="preserve">Under the ETS, </w:t>
      </w:r>
      <w:r w:rsidR="00824435" w:rsidRPr="009A2336">
        <w:rPr>
          <w:rFonts w:ascii="Helvetica" w:hAnsi="Helvetica" w:cs="Helvetica"/>
          <w:b/>
          <w:bCs/>
          <w:sz w:val="20"/>
          <w:szCs w:val="20"/>
        </w:rPr>
        <w:t>Vaccination</w:t>
      </w:r>
      <w:r w:rsidR="00134DEA" w:rsidRPr="009A2336">
        <w:rPr>
          <w:rFonts w:ascii="Helvetica" w:hAnsi="Helvetica" w:cs="Helvetica"/>
          <w:b/>
          <w:bCs/>
          <w:sz w:val="20"/>
          <w:szCs w:val="20"/>
        </w:rPr>
        <w:t xml:space="preserve"> </w:t>
      </w:r>
      <w:r w:rsidRPr="009A2336">
        <w:rPr>
          <w:rFonts w:ascii="Helvetica" w:hAnsi="Helvetica" w:cs="Helvetica"/>
          <w:b/>
          <w:bCs/>
          <w:sz w:val="20"/>
          <w:szCs w:val="20"/>
        </w:rPr>
        <w:t>Does Not Offer Any Relief from Exclusion Pay Requirements</w:t>
      </w:r>
      <w:r w:rsidR="006D260F" w:rsidRPr="009A2336">
        <w:rPr>
          <w:rFonts w:ascii="Helvetica" w:hAnsi="Helvetica" w:cs="Helvetica"/>
          <w:b/>
          <w:bCs/>
          <w:sz w:val="20"/>
          <w:szCs w:val="20"/>
        </w:rPr>
        <w:t xml:space="preserve"> – </w:t>
      </w:r>
      <w:r w:rsidR="007544D9" w:rsidRPr="009A2336">
        <w:rPr>
          <w:rFonts w:ascii="Helvetica" w:hAnsi="Helvetica" w:cs="Helvetica"/>
          <w:sz w:val="20"/>
          <w:szCs w:val="20"/>
        </w:rPr>
        <w:t xml:space="preserve"> </w:t>
      </w:r>
      <w:r w:rsidR="00E54B8C" w:rsidRPr="009A2336">
        <w:rPr>
          <w:rFonts w:ascii="Helvetica" w:hAnsi="Helvetica" w:cs="Helvetica"/>
          <w:sz w:val="20"/>
          <w:szCs w:val="20"/>
        </w:rPr>
        <w:t>Furthermore, it should be noted that many</w:t>
      </w:r>
      <w:r w:rsidR="007544D9" w:rsidRPr="009A2336">
        <w:rPr>
          <w:rFonts w:ascii="Helvetica" w:hAnsi="Helvetica" w:cs="Helvetica"/>
          <w:sz w:val="20"/>
          <w:szCs w:val="20"/>
        </w:rPr>
        <w:t xml:space="preserve"> employers </w:t>
      </w:r>
      <w:r w:rsidR="00E54B8C" w:rsidRPr="009A2336">
        <w:rPr>
          <w:rFonts w:ascii="Helvetica" w:hAnsi="Helvetica" w:cs="Helvetica"/>
          <w:sz w:val="20"/>
          <w:szCs w:val="20"/>
        </w:rPr>
        <w:t>have begun</w:t>
      </w:r>
      <w:r w:rsidR="00417CA4">
        <w:rPr>
          <w:rFonts w:ascii="Helvetica" w:hAnsi="Helvetica" w:cs="Helvetica"/>
          <w:sz w:val="20"/>
          <w:szCs w:val="20"/>
        </w:rPr>
        <w:t xml:space="preserve"> </w:t>
      </w:r>
      <w:r w:rsidR="00922275">
        <w:rPr>
          <w:rFonts w:ascii="Helvetica" w:hAnsi="Helvetica" w:cs="Helvetica"/>
          <w:sz w:val="20"/>
          <w:szCs w:val="20"/>
        </w:rPr>
        <w:t>to</w:t>
      </w:r>
      <w:r w:rsidR="00E54B8C" w:rsidRPr="009A2336">
        <w:rPr>
          <w:rFonts w:ascii="Helvetica" w:hAnsi="Helvetica" w:cs="Helvetica"/>
          <w:sz w:val="20"/>
          <w:szCs w:val="20"/>
        </w:rPr>
        <w:t xml:space="preserve"> (or are eager to) vaccinate their workers – but the Regulation </w:t>
      </w:r>
      <w:r w:rsidR="00E54B8C" w:rsidRPr="009A2336">
        <w:rPr>
          <w:rFonts w:ascii="Helvetica" w:hAnsi="Helvetica" w:cs="Helvetica"/>
          <w:i/>
          <w:iCs/>
          <w:sz w:val="20"/>
          <w:szCs w:val="20"/>
        </w:rPr>
        <w:t>does not recognize vaccination as an alternative measure</w:t>
      </w:r>
      <w:r w:rsidR="00E54B8C" w:rsidRPr="009A2336">
        <w:rPr>
          <w:rFonts w:ascii="Helvetica" w:hAnsi="Helvetica" w:cs="Helvetica"/>
          <w:sz w:val="20"/>
          <w:szCs w:val="20"/>
        </w:rPr>
        <w:t xml:space="preserve"> to th</w:t>
      </w:r>
      <w:r w:rsidR="00A775E8">
        <w:rPr>
          <w:rFonts w:ascii="Helvetica" w:hAnsi="Helvetica" w:cs="Helvetica"/>
          <w:sz w:val="20"/>
          <w:szCs w:val="20"/>
        </w:rPr>
        <w:t xml:space="preserve">e unlimited paid time off for </w:t>
      </w:r>
      <w:r w:rsidR="00E54B8C" w:rsidRPr="009A2336">
        <w:rPr>
          <w:rFonts w:ascii="Helvetica" w:hAnsi="Helvetica" w:cs="Helvetica"/>
          <w:sz w:val="20"/>
          <w:szCs w:val="20"/>
        </w:rPr>
        <w:t>exclusion</w:t>
      </w:r>
      <w:r w:rsidR="00AB128B">
        <w:rPr>
          <w:rFonts w:ascii="Helvetica" w:hAnsi="Helvetica" w:cs="Helvetica"/>
          <w:sz w:val="20"/>
          <w:szCs w:val="20"/>
        </w:rPr>
        <w:t xml:space="preserve">. </w:t>
      </w:r>
      <w:r w:rsidR="00E54B8C" w:rsidRPr="009A2336">
        <w:rPr>
          <w:rFonts w:ascii="Helvetica" w:hAnsi="Helvetica" w:cs="Helvetica"/>
          <w:sz w:val="20"/>
          <w:szCs w:val="20"/>
        </w:rPr>
        <w:t>In other words – even if an employer has randomized testing in place (which is beyond the Regulation’s requirements) and has vaccinated every employee who was potentially exposed</w:t>
      </w:r>
      <w:r w:rsidR="00E55606" w:rsidRPr="009A2336">
        <w:rPr>
          <w:rFonts w:ascii="Helvetica" w:hAnsi="Helvetica" w:cs="Helvetica"/>
          <w:sz w:val="20"/>
          <w:szCs w:val="20"/>
        </w:rPr>
        <w:t xml:space="preserve">, </w:t>
      </w:r>
      <w:r w:rsidR="00E55606" w:rsidRPr="009A2336">
        <w:rPr>
          <w:rFonts w:ascii="Helvetica" w:hAnsi="Helvetica" w:cs="Helvetica"/>
          <w:sz w:val="20"/>
          <w:szCs w:val="20"/>
        </w:rPr>
        <w:lastRenderedPageBreak/>
        <w:t xml:space="preserve">and has already paid for 60 days of paid </w:t>
      </w:r>
      <w:r w:rsidR="00A775E8">
        <w:rPr>
          <w:rFonts w:ascii="Helvetica" w:hAnsi="Helvetica" w:cs="Helvetica"/>
          <w:sz w:val="20"/>
          <w:szCs w:val="20"/>
        </w:rPr>
        <w:t xml:space="preserve">time off </w:t>
      </w:r>
      <w:r w:rsidR="00E55606" w:rsidRPr="009A2336">
        <w:rPr>
          <w:rFonts w:ascii="Helvetica" w:hAnsi="Helvetica" w:cs="Helvetica"/>
          <w:sz w:val="20"/>
          <w:szCs w:val="20"/>
        </w:rPr>
        <w:t xml:space="preserve">for each of these vaccinated </w:t>
      </w:r>
      <w:r w:rsidR="009A2336" w:rsidRPr="009A2336">
        <w:rPr>
          <w:rFonts w:ascii="Helvetica" w:hAnsi="Helvetica" w:cs="Helvetica"/>
          <w:sz w:val="20"/>
          <w:szCs w:val="20"/>
        </w:rPr>
        <w:t>employees</w:t>
      </w:r>
      <w:r w:rsidR="00E54B8C" w:rsidRPr="009A2336">
        <w:rPr>
          <w:rFonts w:ascii="Helvetica" w:hAnsi="Helvetica" w:cs="Helvetica"/>
          <w:sz w:val="20"/>
          <w:szCs w:val="20"/>
        </w:rPr>
        <w:t xml:space="preserve"> – the employer </w:t>
      </w:r>
      <w:r w:rsidR="00E54B8C" w:rsidRPr="009A2336">
        <w:rPr>
          <w:rFonts w:ascii="Helvetica" w:hAnsi="Helvetica" w:cs="Helvetica"/>
          <w:i/>
          <w:iCs/>
          <w:sz w:val="20"/>
          <w:szCs w:val="20"/>
          <w:u w:val="single"/>
        </w:rPr>
        <w:t>still must exclude all of them from the workplace for 10-14 days and provide them full pa</w:t>
      </w:r>
      <w:r w:rsidR="00A775E8">
        <w:rPr>
          <w:rFonts w:ascii="Helvetica" w:hAnsi="Helvetica" w:cs="Helvetica"/>
          <w:i/>
          <w:iCs/>
          <w:sz w:val="20"/>
          <w:szCs w:val="20"/>
          <w:u w:val="single"/>
        </w:rPr>
        <w:t>y</w:t>
      </w:r>
      <w:r w:rsidR="00AB128B">
        <w:rPr>
          <w:rFonts w:ascii="Helvetica" w:hAnsi="Helvetica" w:cs="Helvetica"/>
          <w:sz w:val="20"/>
          <w:szCs w:val="20"/>
        </w:rPr>
        <w:t xml:space="preserve">. </w:t>
      </w:r>
    </w:p>
    <w:p w14:paraId="59822E51" w14:textId="77777777" w:rsidR="007544D9" w:rsidRDefault="007544D9" w:rsidP="00E54B8C">
      <w:pPr>
        <w:jc w:val="both"/>
        <w:rPr>
          <w:rFonts w:ascii="Helvetica" w:eastAsiaTheme="minorHAnsi" w:hAnsi="Helvetica" w:cs="Helvetica"/>
          <w:sz w:val="20"/>
        </w:rPr>
      </w:pPr>
    </w:p>
    <w:p w14:paraId="20C3ABFB" w14:textId="442D2E59" w:rsidR="00B949D2" w:rsidRPr="009A2336" w:rsidRDefault="00E54B8C" w:rsidP="009A2336">
      <w:pPr>
        <w:pStyle w:val="NoSpacing"/>
        <w:jc w:val="both"/>
        <w:rPr>
          <w:rFonts w:ascii="Helvetica" w:hAnsi="Helvetica" w:cs="Helvetica"/>
          <w:sz w:val="20"/>
          <w:szCs w:val="20"/>
        </w:rPr>
      </w:pPr>
      <w:r w:rsidRPr="009A2336">
        <w:rPr>
          <w:rFonts w:ascii="Helvetica" w:hAnsi="Helvetica" w:cs="Helvetica"/>
          <w:sz w:val="20"/>
          <w:szCs w:val="20"/>
        </w:rPr>
        <w:t xml:space="preserve">This burden is simply not sustainable for many of California’s employers – particularly the smaller employers – </w:t>
      </w:r>
      <w:r w:rsidR="00E55606" w:rsidRPr="009A2336">
        <w:rPr>
          <w:rFonts w:ascii="Helvetica" w:hAnsi="Helvetica" w:cs="Helvetica"/>
          <w:sz w:val="20"/>
          <w:szCs w:val="20"/>
        </w:rPr>
        <w:t>who just barely managed to keep their doors open through 2020</w:t>
      </w:r>
      <w:r w:rsidR="00AB128B">
        <w:rPr>
          <w:rFonts w:ascii="Helvetica" w:hAnsi="Helvetica" w:cs="Helvetica"/>
          <w:sz w:val="20"/>
          <w:szCs w:val="20"/>
        </w:rPr>
        <w:t xml:space="preserve">. </w:t>
      </w:r>
      <w:r w:rsidR="00E55606" w:rsidRPr="009A2336">
        <w:rPr>
          <w:rFonts w:ascii="Helvetica" w:hAnsi="Helvetica" w:cs="Helvetica"/>
          <w:sz w:val="20"/>
          <w:szCs w:val="20"/>
        </w:rPr>
        <w:t>Given that the Regulation may remain in ef</w:t>
      </w:r>
      <w:r w:rsidR="00E24685" w:rsidRPr="009A2336">
        <w:rPr>
          <w:rFonts w:ascii="Helvetica" w:hAnsi="Helvetica" w:cs="Helvetica"/>
          <w:sz w:val="20"/>
          <w:szCs w:val="20"/>
        </w:rPr>
        <w:t>fect into early 2022, language must be introduced as soon as possible to recognize vaccination as</w:t>
      </w:r>
      <w:r w:rsidR="00C933E3" w:rsidRPr="009A2336">
        <w:rPr>
          <w:rFonts w:ascii="Helvetica" w:hAnsi="Helvetica" w:cs="Helvetica"/>
          <w:sz w:val="20"/>
          <w:szCs w:val="20"/>
        </w:rPr>
        <w:t xml:space="preserve"> alleviating the requirement to exclude employees</w:t>
      </w:r>
      <w:r w:rsidR="00B056A9">
        <w:rPr>
          <w:rFonts w:ascii="Helvetica" w:hAnsi="Helvetica" w:cs="Helvetica"/>
          <w:sz w:val="20"/>
          <w:szCs w:val="20"/>
        </w:rPr>
        <w:t>, which will allow critical industries to continue to function.</w:t>
      </w:r>
    </w:p>
    <w:p w14:paraId="3D7D1AE5" w14:textId="77777777" w:rsidR="00B949D2" w:rsidRPr="00775852" w:rsidRDefault="00B949D2" w:rsidP="00F27C1E">
      <w:pPr>
        <w:jc w:val="both"/>
        <w:rPr>
          <w:rFonts w:ascii="Helvetica" w:eastAsiaTheme="minorHAnsi" w:hAnsi="Helvetica" w:cs="Helvetica"/>
          <w:sz w:val="20"/>
        </w:rPr>
      </w:pPr>
    </w:p>
    <w:p w14:paraId="10F05E81" w14:textId="2BD846D4" w:rsidR="00B44819" w:rsidRPr="00775852" w:rsidRDefault="00B44819" w:rsidP="00B44819">
      <w:pPr>
        <w:contextualSpacing/>
        <w:jc w:val="both"/>
        <w:rPr>
          <w:rFonts w:ascii="Helvetica" w:eastAsiaTheme="minorHAnsi" w:hAnsi="Helvetica" w:cs="Helvetica"/>
          <w:sz w:val="20"/>
        </w:rPr>
      </w:pPr>
    </w:p>
    <w:p w14:paraId="69D01C32" w14:textId="53E1C824" w:rsidR="00FA32A1" w:rsidRPr="00775852" w:rsidRDefault="00FA32A1" w:rsidP="00FA32A1">
      <w:pPr>
        <w:pStyle w:val="ListParagraph"/>
        <w:numPr>
          <w:ilvl w:val="0"/>
          <w:numId w:val="7"/>
        </w:numPr>
        <w:jc w:val="both"/>
        <w:rPr>
          <w:rFonts w:ascii="Helvetica" w:eastAsiaTheme="minorHAnsi" w:hAnsi="Helvetica" w:cs="Helvetica"/>
          <w:b/>
          <w:bCs/>
          <w:szCs w:val="24"/>
        </w:rPr>
      </w:pPr>
      <w:r w:rsidRPr="00775852">
        <w:rPr>
          <w:rFonts w:ascii="Helvetica" w:eastAsiaTheme="minorHAnsi" w:hAnsi="Helvetica" w:cs="Helvetica"/>
          <w:b/>
          <w:bCs/>
          <w:szCs w:val="24"/>
        </w:rPr>
        <w:t xml:space="preserve">The ETS’s Testing Requirements Are Overbroad and Disconnected </w:t>
      </w:r>
      <w:proofErr w:type="gramStart"/>
      <w:r w:rsidR="00521112" w:rsidRPr="00775852">
        <w:rPr>
          <w:rFonts w:ascii="Helvetica" w:eastAsiaTheme="minorHAnsi" w:hAnsi="Helvetica" w:cs="Helvetica"/>
          <w:b/>
          <w:bCs/>
          <w:szCs w:val="24"/>
        </w:rPr>
        <w:t>F</w:t>
      </w:r>
      <w:r w:rsidRPr="00775852">
        <w:rPr>
          <w:rFonts w:ascii="Helvetica" w:eastAsiaTheme="minorHAnsi" w:hAnsi="Helvetica" w:cs="Helvetica"/>
          <w:b/>
          <w:bCs/>
          <w:szCs w:val="24"/>
        </w:rPr>
        <w:t>rom</w:t>
      </w:r>
      <w:proofErr w:type="gramEnd"/>
      <w:r w:rsidRPr="00775852">
        <w:rPr>
          <w:rFonts w:ascii="Helvetica" w:eastAsiaTheme="minorHAnsi" w:hAnsi="Helvetica" w:cs="Helvetica"/>
          <w:b/>
          <w:bCs/>
          <w:szCs w:val="24"/>
        </w:rPr>
        <w:t xml:space="preserve"> Logistical Reality</w:t>
      </w:r>
    </w:p>
    <w:p w14:paraId="09BCB4E3" w14:textId="2E797225" w:rsidR="00D14B02" w:rsidRDefault="00D14B02" w:rsidP="00D14B02">
      <w:pPr>
        <w:jc w:val="both"/>
        <w:rPr>
          <w:rFonts w:ascii="Helvetica" w:eastAsiaTheme="minorHAnsi" w:hAnsi="Helvetica" w:cs="Helvetica"/>
          <w:b/>
          <w:bCs/>
          <w:szCs w:val="24"/>
          <w:u w:val="single"/>
        </w:rPr>
      </w:pPr>
    </w:p>
    <w:p w14:paraId="3EA50F25" w14:textId="2AA6B9BD" w:rsidR="00CC26E8" w:rsidRPr="009A2336" w:rsidRDefault="00CD5CEB" w:rsidP="009A2336">
      <w:pPr>
        <w:pStyle w:val="NoSpacing"/>
        <w:jc w:val="both"/>
        <w:rPr>
          <w:rFonts w:ascii="Helvetica" w:hAnsi="Helvetica" w:cs="Helvetica"/>
          <w:sz w:val="20"/>
          <w:szCs w:val="20"/>
        </w:rPr>
      </w:pPr>
      <w:r w:rsidRPr="009A2336">
        <w:rPr>
          <w:rFonts w:ascii="Helvetica" w:hAnsi="Helvetica" w:cs="Helvetica"/>
          <w:sz w:val="20"/>
          <w:szCs w:val="20"/>
        </w:rPr>
        <w:t>The Regulation requires employers to provide (or ensure employees have access to) testing to employees at no cost and on paid time in a variety of circumstances</w:t>
      </w:r>
      <w:r w:rsidR="00AB128B">
        <w:rPr>
          <w:rFonts w:ascii="Helvetica" w:hAnsi="Helvetica" w:cs="Helvetica"/>
          <w:sz w:val="20"/>
          <w:szCs w:val="20"/>
        </w:rPr>
        <w:t xml:space="preserve">. </w:t>
      </w:r>
      <w:r w:rsidRPr="009A2336">
        <w:rPr>
          <w:rFonts w:ascii="Helvetica" w:hAnsi="Helvetica" w:cs="Helvetica"/>
          <w:sz w:val="20"/>
          <w:szCs w:val="20"/>
        </w:rPr>
        <w:t>If an employee is a close contact of a COVID-19 case, then they must be excluded (as discussed above) and receive testing at no cost.</w:t>
      </w:r>
      <w:r w:rsidRPr="009A2336">
        <w:rPr>
          <w:rStyle w:val="FootnoteReference"/>
          <w:rFonts w:ascii="Helvetica" w:eastAsiaTheme="minorHAnsi" w:hAnsi="Helvetica" w:cs="Helvetica"/>
          <w:sz w:val="20"/>
          <w:szCs w:val="20"/>
        </w:rPr>
        <w:footnoteReference w:id="10"/>
      </w:r>
      <w:r w:rsidR="007E01C3" w:rsidRPr="009A2336">
        <w:rPr>
          <w:rFonts w:ascii="Helvetica" w:hAnsi="Helvetica" w:cs="Helvetica"/>
          <w:sz w:val="20"/>
          <w:szCs w:val="20"/>
        </w:rPr>
        <w:t xml:space="preserve">  Alternatively, if three cases </w:t>
      </w:r>
      <w:r w:rsidR="00C46863" w:rsidRPr="009A2336">
        <w:rPr>
          <w:rFonts w:ascii="Helvetica" w:hAnsi="Helvetica" w:cs="Helvetica"/>
          <w:sz w:val="20"/>
          <w:szCs w:val="20"/>
        </w:rPr>
        <w:t>occur</w:t>
      </w:r>
      <w:r w:rsidR="007E01C3" w:rsidRPr="009A2336">
        <w:rPr>
          <w:rFonts w:ascii="Helvetica" w:hAnsi="Helvetica" w:cs="Helvetica"/>
          <w:sz w:val="20"/>
          <w:szCs w:val="20"/>
        </w:rPr>
        <w:t xml:space="preserve"> in an exposed workplace area</w:t>
      </w:r>
      <w:r w:rsidR="00C46863" w:rsidRPr="009A2336">
        <w:rPr>
          <w:rFonts w:ascii="Helvetica" w:hAnsi="Helvetica" w:cs="Helvetica"/>
          <w:sz w:val="20"/>
          <w:szCs w:val="20"/>
        </w:rPr>
        <w:t xml:space="preserve"> over a 14-day period then it is considered an “outbreak</w:t>
      </w:r>
      <w:r w:rsidR="00961F4B">
        <w:rPr>
          <w:rFonts w:ascii="Helvetica" w:hAnsi="Helvetica" w:cs="Helvetica"/>
          <w:sz w:val="20"/>
          <w:szCs w:val="20"/>
        </w:rPr>
        <w:t>,</w:t>
      </w:r>
      <w:r w:rsidR="00C46863" w:rsidRPr="009A2336">
        <w:rPr>
          <w:rFonts w:ascii="Helvetica" w:hAnsi="Helvetica" w:cs="Helvetica"/>
          <w:sz w:val="20"/>
          <w:szCs w:val="20"/>
        </w:rPr>
        <w:t>”</w:t>
      </w:r>
      <w:r w:rsidR="003373F1">
        <w:rPr>
          <w:rFonts w:ascii="Helvetica" w:hAnsi="Helvetica" w:cs="Helvetica"/>
          <w:sz w:val="20"/>
          <w:szCs w:val="20"/>
        </w:rPr>
        <w:t xml:space="preserve"> </w:t>
      </w:r>
      <w:r w:rsidR="007E01C3" w:rsidRPr="009A2336">
        <w:rPr>
          <w:rStyle w:val="FootnoteReference"/>
          <w:rFonts w:ascii="Helvetica" w:eastAsiaTheme="minorHAnsi" w:hAnsi="Helvetica" w:cs="Helvetica"/>
          <w:sz w:val="20"/>
          <w:szCs w:val="20"/>
        </w:rPr>
        <w:footnoteReference w:id="11"/>
      </w:r>
      <w:r w:rsidR="00955EEF" w:rsidRPr="009A2336">
        <w:rPr>
          <w:rFonts w:ascii="Helvetica" w:hAnsi="Helvetica" w:cs="Helvetica"/>
          <w:sz w:val="20"/>
          <w:szCs w:val="20"/>
        </w:rPr>
        <w:t xml:space="preserve"> </w:t>
      </w:r>
      <w:r w:rsidR="00A775E8">
        <w:rPr>
          <w:rFonts w:ascii="Helvetica" w:hAnsi="Helvetica" w:cs="Helvetica"/>
          <w:sz w:val="20"/>
          <w:szCs w:val="20"/>
        </w:rPr>
        <w:t xml:space="preserve">and </w:t>
      </w:r>
      <w:r w:rsidR="00955EEF" w:rsidRPr="009A2336">
        <w:rPr>
          <w:rFonts w:ascii="Helvetica" w:hAnsi="Helvetica" w:cs="Helvetica"/>
          <w:sz w:val="20"/>
          <w:szCs w:val="20"/>
        </w:rPr>
        <w:t xml:space="preserve"> all employees in that area must be tested on a weekly basis</w:t>
      </w:r>
      <w:r w:rsidR="00C46863" w:rsidRPr="009A2336">
        <w:rPr>
          <w:rFonts w:ascii="Helvetica" w:hAnsi="Helvetica" w:cs="Helvetica"/>
          <w:sz w:val="20"/>
          <w:szCs w:val="20"/>
        </w:rPr>
        <w:t>.</w:t>
      </w:r>
      <w:r w:rsidR="000866B4" w:rsidRPr="009A2336">
        <w:rPr>
          <w:rStyle w:val="FootnoteReference"/>
          <w:rFonts w:ascii="Helvetica" w:eastAsiaTheme="minorHAnsi" w:hAnsi="Helvetica" w:cs="Helvetica"/>
          <w:sz w:val="20"/>
          <w:szCs w:val="20"/>
        </w:rPr>
        <w:footnoteReference w:id="12"/>
      </w:r>
      <w:r w:rsidR="000866B4" w:rsidRPr="009A2336">
        <w:rPr>
          <w:rFonts w:ascii="Helvetica" w:hAnsi="Helvetica" w:cs="Helvetica"/>
          <w:sz w:val="20"/>
          <w:szCs w:val="20"/>
        </w:rPr>
        <w:t xml:space="preserve"> </w:t>
      </w:r>
      <w:r w:rsidR="00CC26E8" w:rsidRPr="009A2336">
        <w:rPr>
          <w:rFonts w:ascii="Helvetica" w:hAnsi="Helvetica" w:cs="Helvetica"/>
          <w:sz w:val="20"/>
          <w:szCs w:val="20"/>
        </w:rPr>
        <w:t xml:space="preserve"> The outbreak provisions are triggered regardless of whether the cases are among employees or customers</w:t>
      </w:r>
      <w:r w:rsidR="007C4C2C" w:rsidRPr="009A2336">
        <w:rPr>
          <w:rFonts w:ascii="Helvetica" w:hAnsi="Helvetica" w:cs="Helvetica"/>
          <w:sz w:val="20"/>
          <w:szCs w:val="20"/>
        </w:rPr>
        <w:t>,</w:t>
      </w:r>
      <w:r w:rsidR="00CC26E8" w:rsidRPr="009A2336">
        <w:rPr>
          <w:rStyle w:val="FootnoteReference"/>
          <w:rFonts w:ascii="Helvetica" w:eastAsiaTheme="minorHAnsi" w:hAnsi="Helvetica" w:cs="Helvetica"/>
          <w:sz w:val="20"/>
          <w:szCs w:val="20"/>
        </w:rPr>
        <w:footnoteReference w:id="13"/>
      </w:r>
      <w:r w:rsidR="007C4C2C" w:rsidRPr="009A2336">
        <w:rPr>
          <w:rFonts w:ascii="Helvetica" w:hAnsi="Helvetica" w:cs="Helvetica"/>
          <w:sz w:val="20"/>
          <w:szCs w:val="20"/>
        </w:rPr>
        <w:t xml:space="preserve"> and are triggered regardless of whether the cases were a result of social spread (such as three employees living together and all catching it socially) or workplace spread</w:t>
      </w:r>
      <w:r w:rsidR="00AB128B">
        <w:rPr>
          <w:rFonts w:ascii="Helvetica" w:hAnsi="Helvetica" w:cs="Helvetica"/>
          <w:sz w:val="20"/>
          <w:szCs w:val="20"/>
        </w:rPr>
        <w:t xml:space="preserve">. </w:t>
      </w:r>
      <w:r w:rsidR="000D0CF9" w:rsidRPr="009A2336">
        <w:rPr>
          <w:rFonts w:ascii="Helvetica" w:hAnsi="Helvetica" w:cs="Helvetica"/>
          <w:sz w:val="20"/>
          <w:szCs w:val="20"/>
        </w:rPr>
        <w:t>The Regulation contains a similar “Major Outbreak” provision which requires twice weekly testing for all employees in the “exposed workplace” area.</w:t>
      </w:r>
      <w:r w:rsidR="000D0CF9" w:rsidRPr="009A2336">
        <w:rPr>
          <w:rStyle w:val="FootnoteReference"/>
          <w:rFonts w:ascii="Helvetica" w:eastAsiaTheme="minorHAnsi" w:hAnsi="Helvetica" w:cs="Helvetica"/>
          <w:sz w:val="20"/>
          <w:szCs w:val="20"/>
        </w:rPr>
        <w:footnoteReference w:id="14"/>
      </w:r>
    </w:p>
    <w:p w14:paraId="7E3FDA31" w14:textId="72A2922B" w:rsidR="007277F5" w:rsidRPr="009A2336" w:rsidRDefault="007277F5" w:rsidP="009A2336">
      <w:pPr>
        <w:pStyle w:val="NoSpacing"/>
        <w:jc w:val="both"/>
        <w:rPr>
          <w:rFonts w:ascii="Helvetica" w:hAnsi="Helvetica" w:cs="Helvetica"/>
          <w:sz w:val="20"/>
          <w:szCs w:val="20"/>
        </w:rPr>
      </w:pPr>
    </w:p>
    <w:p w14:paraId="4003B5D7" w14:textId="2DE5D685" w:rsidR="008A1900" w:rsidRPr="009A2336" w:rsidRDefault="00A775E8" w:rsidP="009A2336">
      <w:pPr>
        <w:pStyle w:val="NoSpacing"/>
        <w:jc w:val="both"/>
        <w:rPr>
          <w:rFonts w:ascii="Helvetica" w:hAnsi="Helvetica" w:cs="Helvetica"/>
          <w:sz w:val="20"/>
          <w:szCs w:val="20"/>
        </w:rPr>
      </w:pPr>
      <w:r>
        <w:rPr>
          <w:rFonts w:ascii="Helvetica" w:hAnsi="Helvetica" w:cs="Helvetica"/>
          <w:sz w:val="20"/>
          <w:szCs w:val="20"/>
        </w:rPr>
        <w:t xml:space="preserve">These </w:t>
      </w:r>
      <w:r w:rsidR="007277F5" w:rsidRPr="009A2336">
        <w:rPr>
          <w:rFonts w:ascii="Helvetica" w:hAnsi="Helvetica" w:cs="Helvetica"/>
          <w:sz w:val="20"/>
          <w:szCs w:val="20"/>
        </w:rPr>
        <w:t>requirements ignore the realities of testing availability</w:t>
      </w:r>
      <w:r w:rsidR="00AB128B">
        <w:rPr>
          <w:rFonts w:ascii="Helvetica" w:hAnsi="Helvetica" w:cs="Helvetica"/>
          <w:sz w:val="20"/>
          <w:szCs w:val="20"/>
        </w:rPr>
        <w:t xml:space="preserve">. </w:t>
      </w:r>
      <w:r w:rsidR="007277F5" w:rsidRPr="009A2336">
        <w:rPr>
          <w:rFonts w:ascii="Helvetica" w:hAnsi="Helvetica" w:cs="Helvetica"/>
          <w:sz w:val="20"/>
          <w:szCs w:val="20"/>
        </w:rPr>
        <w:t xml:space="preserve">First, tests may not be publicly available in certain rural </w:t>
      </w:r>
      <w:r w:rsidR="009A2336" w:rsidRPr="009A2336">
        <w:rPr>
          <w:rFonts w:ascii="Helvetica" w:hAnsi="Helvetica" w:cs="Helvetica"/>
          <w:sz w:val="20"/>
          <w:szCs w:val="20"/>
        </w:rPr>
        <w:t>areas and</w:t>
      </w:r>
      <w:r w:rsidR="007277F5" w:rsidRPr="009A2336">
        <w:rPr>
          <w:rFonts w:ascii="Helvetica" w:hAnsi="Helvetica" w:cs="Helvetica"/>
          <w:sz w:val="20"/>
          <w:szCs w:val="20"/>
        </w:rPr>
        <w:t xml:space="preserve"> may be a serious expense for smaller employers</w:t>
      </w:r>
      <w:r w:rsidR="00AB128B">
        <w:rPr>
          <w:rFonts w:ascii="Helvetica" w:hAnsi="Helvetica" w:cs="Helvetica"/>
          <w:sz w:val="20"/>
          <w:szCs w:val="20"/>
        </w:rPr>
        <w:t xml:space="preserve">. </w:t>
      </w:r>
      <w:r w:rsidR="007277F5" w:rsidRPr="009A2336">
        <w:rPr>
          <w:rFonts w:ascii="Helvetica" w:hAnsi="Helvetica" w:cs="Helvetica"/>
          <w:sz w:val="20"/>
          <w:szCs w:val="20"/>
        </w:rPr>
        <w:t>Second, even if they are available, employers cannot compel medical facilities to prioritize testing of cases showing no symptoms</w:t>
      </w:r>
      <w:r w:rsidR="00AB128B">
        <w:rPr>
          <w:rFonts w:ascii="Helvetica" w:hAnsi="Helvetica" w:cs="Helvetica"/>
          <w:sz w:val="20"/>
          <w:szCs w:val="20"/>
        </w:rPr>
        <w:t xml:space="preserve">. </w:t>
      </w:r>
      <w:r w:rsidR="00085E9B" w:rsidRPr="009A2336">
        <w:rPr>
          <w:rFonts w:ascii="Helvetica" w:hAnsi="Helvetica" w:cs="Helvetica"/>
          <w:sz w:val="20"/>
          <w:szCs w:val="20"/>
        </w:rPr>
        <w:t>For example: if an employee is instructed to get tested because they were potentially exposed, and calls their doc</w:t>
      </w:r>
      <w:r w:rsidR="0018265C" w:rsidRPr="009A2336">
        <w:rPr>
          <w:rFonts w:ascii="Helvetica" w:hAnsi="Helvetica" w:cs="Helvetica"/>
          <w:sz w:val="20"/>
          <w:szCs w:val="20"/>
        </w:rPr>
        <w:t xml:space="preserve">tor/local medical provider, the provider will commonly tell them: (a) that no testing is available in the timeline required by the </w:t>
      </w:r>
      <w:r w:rsidR="00946FD9">
        <w:rPr>
          <w:rFonts w:ascii="Helvetica" w:hAnsi="Helvetica" w:cs="Helvetica"/>
          <w:sz w:val="20"/>
          <w:szCs w:val="20"/>
        </w:rPr>
        <w:t>R</w:t>
      </w:r>
      <w:r w:rsidR="00946FD9" w:rsidRPr="009A2336">
        <w:rPr>
          <w:rFonts w:ascii="Helvetica" w:hAnsi="Helvetica" w:cs="Helvetica"/>
          <w:sz w:val="20"/>
          <w:szCs w:val="20"/>
        </w:rPr>
        <w:t>egulation</w:t>
      </w:r>
      <w:r w:rsidR="0018265C" w:rsidRPr="009A2336">
        <w:rPr>
          <w:rFonts w:ascii="Helvetica" w:hAnsi="Helvetica" w:cs="Helvetica"/>
          <w:sz w:val="20"/>
          <w:szCs w:val="20"/>
        </w:rPr>
        <w:t xml:space="preserve">, and (b) that the medical provider does not recommend testing given no symptoms and </w:t>
      </w:r>
      <w:r w:rsidR="00F71048" w:rsidRPr="009A2336">
        <w:rPr>
          <w:rFonts w:ascii="Helvetica" w:hAnsi="Helvetica" w:cs="Helvetica"/>
          <w:sz w:val="20"/>
          <w:szCs w:val="20"/>
        </w:rPr>
        <w:t xml:space="preserve">the need to prioritize tests to higher risk individuals. </w:t>
      </w:r>
    </w:p>
    <w:p w14:paraId="32B50136" w14:textId="77777777" w:rsidR="008A1900" w:rsidRPr="009A2336" w:rsidRDefault="008A1900" w:rsidP="009A2336">
      <w:pPr>
        <w:pStyle w:val="NoSpacing"/>
        <w:jc w:val="both"/>
        <w:rPr>
          <w:rFonts w:ascii="Helvetica" w:hAnsi="Helvetica" w:cs="Helvetica"/>
          <w:sz w:val="20"/>
          <w:szCs w:val="20"/>
        </w:rPr>
      </w:pPr>
    </w:p>
    <w:p w14:paraId="61CE6BF0" w14:textId="3D368FEC" w:rsidR="007277F5" w:rsidRPr="009A2336" w:rsidRDefault="00F71048" w:rsidP="009A2336">
      <w:pPr>
        <w:pStyle w:val="NoSpacing"/>
        <w:jc w:val="both"/>
        <w:rPr>
          <w:rFonts w:ascii="Helvetica" w:hAnsi="Helvetica" w:cs="Helvetica"/>
          <w:sz w:val="20"/>
          <w:szCs w:val="20"/>
        </w:rPr>
      </w:pPr>
      <w:r w:rsidRPr="009A2336">
        <w:rPr>
          <w:rFonts w:ascii="Helvetica" w:hAnsi="Helvetica" w:cs="Helvetica"/>
          <w:sz w:val="20"/>
          <w:szCs w:val="20"/>
        </w:rPr>
        <w:t xml:space="preserve">These complications mean that even well-intentioned employers are at the mercy of </w:t>
      </w:r>
      <w:r w:rsidR="00113969" w:rsidRPr="009A2336">
        <w:rPr>
          <w:rFonts w:ascii="Helvetica" w:hAnsi="Helvetica" w:cs="Helvetica"/>
          <w:sz w:val="20"/>
          <w:szCs w:val="20"/>
        </w:rPr>
        <w:t xml:space="preserve">medical logistics which they have no control over – unless they can hire their own testing company, which many </w:t>
      </w:r>
      <w:r w:rsidR="00DE1433" w:rsidRPr="009A2336">
        <w:rPr>
          <w:rFonts w:ascii="Helvetica" w:hAnsi="Helvetica" w:cs="Helvetica"/>
          <w:sz w:val="20"/>
          <w:szCs w:val="20"/>
        </w:rPr>
        <w:t>will not be able to do</w:t>
      </w:r>
      <w:r w:rsidR="00AB128B">
        <w:rPr>
          <w:rFonts w:ascii="Helvetica" w:hAnsi="Helvetica" w:cs="Helvetica"/>
          <w:sz w:val="20"/>
          <w:szCs w:val="20"/>
        </w:rPr>
        <w:t xml:space="preserve">. </w:t>
      </w:r>
      <w:r w:rsidR="00DE1433" w:rsidRPr="009A2336">
        <w:rPr>
          <w:rFonts w:ascii="Helvetica" w:hAnsi="Helvetica" w:cs="Helvetica"/>
          <w:sz w:val="20"/>
          <w:szCs w:val="20"/>
        </w:rPr>
        <w:t xml:space="preserve">As a result, </w:t>
      </w:r>
      <w:r w:rsidR="00D636C2" w:rsidRPr="009A2336">
        <w:rPr>
          <w:rFonts w:ascii="Helvetica" w:hAnsi="Helvetica" w:cs="Helvetica"/>
          <w:sz w:val="20"/>
          <w:szCs w:val="20"/>
        </w:rPr>
        <w:t>good employers</w:t>
      </w:r>
      <w:r w:rsidR="00DE1433" w:rsidRPr="009A2336">
        <w:rPr>
          <w:rFonts w:ascii="Helvetica" w:hAnsi="Helvetica" w:cs="Helvetica"/>
          <w:sz w:val="20"/>
          <w:szCs w:val="20"/>
        </w:rPr>
        <w:t xml:space="preserve"> will fail to meet the requirements of the Regulation </w:t>
      </w:r>
      <w:r w:rsidR="00DE1433" w:rsidRPr="009A2336">
        <w:rPr>
          <w:rFonts w:ascii="Helvetica" w:hAnsi="Helvetica" w:cs="Helvetica"/>
          <w:i/>
          <w:iCs/>
          <w:sz w:val="20"/>
          <w:szCs w:val="20"/>
        </w:rPr>
        <w:t>despite</w:t>
      </w:r>
      <w:r w:rsidR="00D636C2" w:rsidRPr="009A2336">
        <w:rPr>
          <w:rFonts w:ascii="Helvetica" w:hAnsi="Helvetica" w:cs="Helvetica"/>
          <w:sz w:val="20"/>
          <w:szCs w:val="20"/>
        </w:rPr>
        <w:t xml:space="preserve"> </w:t>
      </w:r>
      <w:r w:rsidR="00EF733F" w:rsidRPr="009A2336">
        <w:rPr>
          <w:rFonts w:ascii="Helvetica" w:hAnsi="Helvetica" w:cs="Helvetica"/>
          <w:i/>
          <w:iCs/>
          <w:sz w:val="20"/>
          <w:szCs w:val="20"/>
        </w:rPr>
        <w:t>doing what</w:t>
      </w:r>
      <w:r w:rsidR="00EF733F">
        <w:rPr>
          <w:i/>
          <w:iCs/>
        </w:rPr>
        <w:t xml:space="preserve"> </w:t>
      </w:r>
      <w:r w:rsidR="00EF733F" w:rsidRPr="009A2336">
        <w:rPr>
          <w:rFonts w:ascii="Helvetica" w:hAnsi="Helvetica" w:cs="Helvetica"/>
          <w:i/>
          <w:iCs/>
          <w:sz w:val="20"/>
          <w:szCs w:val="20"/>
        </w:rPr>
        <w:t xml:space="preserve">they can, </w:t>
      </w:r>
      <w:r w:rsidR="00EF733F" w:rsidRPr="009A2336">
        <w:rPr>
          <w:rFonts w:ascii="Helvetica" w:hAnsi="Helvetica" w:cs="Helvetica"/>
          <w:sz w:val="20"/>
          <w:szCs w:val="20"/>
        </w:rPr>
        <w:t>which in this case is</w:t>
      </w:r>
      <w:r w:rsidR="00EF733F" w:rsidRPr="009A2336">
        <w:rPr>
          <w:rFonts w:ascii="Helvetica" w:hAnsi="Helvetica" w:cs="Helvetica"/>
          <w:i/>
          <w:iCs/>
          <w:sz w:val="20"/>
          <w:szCs w:val="20"/>
        </w:rPr>
        <w:t xml:space="preserve"> </w:t>
      </w:r>
      <w:r w:rsidR="00DE1433" w:rsidRPr="009A2336">
        <w:rPr>
          <w:rFonts w:ascii="Helvetica" w:hAnsi="Helvetica" w:cs="Helvetica"/>
          <w:sz w:val="20"/>
          <w:szCs w:val="20"/>
        </w:rPr>
        <w:t xml:space="preserve">paying their employees for the time necessary to get tested and </w:t>
      </w:r>
      <w:r w:rsidR="008A1900" w:rsidRPr="009A2336">
        <w:rPr>
          <w:rFonts w:ascii="Helvetica" w:hAnsi="Helvetica" w:cs="Helvetica"/>
          <w:sz w:val="20"/>
          <w:szCs w:val="20"/>
        </w:rPr>
        <w:t>providing them information about local testing resources</w:t>
      </w:r>
      <w:r w:rsidR="00EF733F" w:rsidRPr="009A2336">
        <w:rPr>
          <w:rFonts w:ascii="Helvetica" w:hAnsi="Helvetica" w:cs="Helvetica"/>
          <w:sz w:val="20"/>
          <w:szCs w:val="20"/>
        </w:rPr>
        <w:t>.</w:t>
      </w:r>
    </w:p>
    <w:p w14:paraId="16B1ABD2" w14:textId="39195A80" w:rsidR="00FB4273" w:rsidRDefault="00FB4273" w:rsidP="00D14B02">
      <w:pPr>
        <w:jc w:val="both"/>
        <w:rPr>
          <w:rFonts w:ascii="Helvetica" w:eastAsiaTheme="minorHAnsi" w:hAnsi="Helvetica" w:cs="Helvetica"/>
          <w:szCs w:val="24"/>
        </w:rPr>
      </w:pPr>
    </w:p>
    <w:p w14:paraId="38B06CA0" w14:textId="04B57B67" w:rsidR="00FB4273" w:rsidRPr="00775852" w:rsidRDefault="00FB4273" w:rsidP="6D4DA2E5">
      <w:pPr>
        <w:jc w:val="both"/>
        <w:rPr>
          <w:rFonts w:ascii="Helvetica" w:eastAsiaTheme="minorEastAsia" w:hAnsi="Helvetica" w:cs="Helvetica"/>
        </w:rPr>
      </w:pPr>
      <w:r w:rsidRPr="00775852">
        <w:rPr>
          <w:rFonts w:ascii="Helvetica" w:eastAsiaTheme="minorEastAsia" w:hAnsi="Helvetica" w:cs="Helvetica"/>
          <w:b/>
          <w:bCs/>
        </w:rPr>
        <w:t>Conclusion</w:t>
      </w:r>
    </w:p>
    <w:p w14:paraId="55007CC7" w14:textId="11A4AF73" w:rsidR="74122C46" w:rsidRDefault="74122C46" w:rsidP="6D4DA2E5">
      <w:pPr>
        <w:jc w:val="both"/>
        <w:rPr>
          <w:rFonts w:ascii="Helvetica" w:eastAsiaTheme="minorEastAsia" w:hAnsi="Helvetica" w:cs="Helvetica"/>
          <w:b/>
          <w:bCs/>
          <w:u w:val="single"/>
        </w:rPr>
      </w:pPr>
    </w:p>
    <w:p w14:paraId="07719443" w14:textId="085EB380" w:rsidR="62FBD06E" w:rsidRDefault="62FBD06E" w:rsidP="6D4DA2E5">
      <w:pPr>
        <w:pStyle w:val="NoSpacing"/>
        <w:jc w:val="both"/>
        <w:rPr>
          <w:rFonts w:ascii="Helvetica" w:hAnsi="Helvetica" w:cs="Helvetica"/>
          <w:sz w:val="20"/>
          <w:szCs w:val="20"/>
        </w:rPr>
      </w:pPr>
      <w:r w:rsidRPr="6D4DA2E5">
        <w:rPr>
          <w:rFonts w:ascii="Helvetica" w:hAnsi="Helvetica" w:cs="Helvetica"/>
          <w:sz w:val="20"/>
          <w:szCs w:val="20"/>
        </w:rPr>
        <w:t>California’</w:t>
      </w:r>
      <w:r w:rsidR="192086A8" w:rsidRPr="6D4DA2E5">
        <w:rPr>
          <w:rFonts w:ascii="Helvetica" w:hAnsi="Helvetica" w:cs="Helvetica"/>
          <w:sz w:val="20"/>
          <w:szCs w:val="20"/>
        </w:rPr>
        <w:t>s s</w:t>
      </w:r>
      <w:r w:rsidRPr="6D4DA2E5">
        <w:rPr>
          <w:rFonts w:ascii="Helvetica" w:hAnsi="Helvetica" w:cs="Helvetica"/>
          <w:sz w:val="20"/>
          <w:szCs w:val="20"/>
        </w:rPr>
        <w:t>olution to COVID-19 cannot simply be to shift the costs of its social safety net to California’s employers.</w:t>
      </w:r>
      <w:r w:rsidR="44F63F8A" w:rsidRPr="6D4DA2E5">
        <w:rPr>
          <w:rFonts w:ascii="Helvetica" w:hAnsi="Helvetica" w:cs="Helvetica"/>
          <w:sz w:val="20"/>
          <w:szCs w:val="20"/>
        </w:rPr>
        <w:t xml:space="preserve"> </w:t>
      </w:r>
      <w:r w:rsidR="0752B5E1" w:rsidRPr="6D4DA2E5">
        <w:rPr>
          <w:rFonts w:ascii="Helvetica" w:hAnsi="Helvetica" w:cs="Helvetica"/>
          <w:sz w:val="20"/>
          <w:szCs w:val="20"/>
        </w:rPr>
        <w:t xml:space="preserve"> </w:t>
      </w:r>
      <w:r w:rsidR="4BCEF481" w:rsidRPr="6D4DA2E5">
        <w:rPr>
          <w:rFonts w:ascii="Helvetica" w:hAnsi="Helvetica" w:cs="Helvetica"/>
          <w:sz w:val="20"/>
          <w:szCs w:val="20"/>
        </w:rPr>
        <w:t xml:space="preserve">Only governments – and particularly the federal government – have that scale of resources to provide in these moments of crisis.  That model can be seen in other recent legislation, including </w:t>
      </w:r>
      <w:r w:rsidR="44F63F8A" w:rsidRPr="6D4DA2E5">
        <w:rPr>
          <w:rFonts w:ascii="Helvetica" w:hAnsi="Helvetica" w:cs="Helvetica"/>
          <w:sz w:val="20"/>
          <w:szCs w:val="20"/>
        </w:rPr>
        <w:t xml:space="preserve">the recent </w:t>
      </w:r>
      <w:r w:rsidR="19E1D2A0" w:rsidRPr="6D4DA2E5">
        <w:rPr>
          <w:rFonts w:ascii="Helvetica" w:hAnsi="Helvetica" w:cs="Helvetica"/>
          <w:sz w:val="20"/>
          <w:szCs w:val="20"/>
        </w:rPr>
        <w:lastRenderedPageBreak/>
        <w:t xml:space="preserve">federal </w:t>
      </w:r>
      <w:r w:rsidR="7B10C3F6" w:rsidRPr="6D4DA2E5">
        <w:rPr>
          <w:rFonts w:ascii="Helvetica" w:hAnsi="Helvetica" w:cs="Helvetica"/>
          <w:sz w:val="20"/>
          <w:szCs w:val="20"/>
        </w:rPr>
        <w:t>rent</w:t>
      </w:r>
      <w:r w:rsidR="71C84D5F" w:rsidRPr="6D4DA2E5">
        <w:rPr>
          <w:rFonts w:ascii="Helvetica" w:hAnsi="Helvetica" w:cs="Helvetica"/>
          <w:sz w:val="20"/>
          <w:szCs w:val="20"/>
        </w:rPr>
        <w:t>al</w:t>
      </w:r>
      <w:r w:rsidR="7B10C3F6" w:rsidRPr="6D4DA2E5">
        <w:rPr>
          <w:rFonts w:ascii="Helvetica" w:hAnsi="Helvetica" w:cs="Helvetica"/>
          <w:sz w:val="20"/>
          <w:szCs w:val="20"/>
        </w:rPr>
        <w:t xml:space="preserve"> </w:t>
      </w:r>
      <w:r w:rsidR="507C1934" w:rsidRPr="6D4DA2E5">
        <w:rPr>
          <w:rFonts w:ascii="Helvetica" w:hAnsi="Helvetica" w:cs="Helvetica"/>
          <w:sz w:val="20"/>
          <w:szCs w:val="20"/>
        </w:rPr>
        <w:t>assistance</w:t>
      </w:r>
      <w:r w:rsidR="7B10C3F6" w:rsidRPr="6D4DA2E5">
        <w:rPr>
          <w:rFonts w:ascii="Helvetica" w:hAnsi="Helvetica" w:cs="Helvetica"/>
          <w:sz w:val="20"/>
          <w:szCs w:val="20"/>
        </w:rPr>
        <w:t xml:space="preserve"> program</w:t>
      </w:r>
      <w:r w:rsidRPr="6D4DA2E5">
        <w:rPr>
          <w:rStyle w:val="FootnoteReference"/>
          <w:rFonts w:ascii="Helvetica" w:hAnsi="Helvetica" w:cs="Helvetica"/>
          <w:sz w:val="20"/>
          <w:szCs w:val="20"/>
        </w:rPr>
        <w:footnoteReference w:id="15"/>
      </w:r>
      <w:r w:rsidR="54AD9022" w:rsidRPr="6D4DA2E5">
        <w:rPr>
          <w:rFonts w:ascii="Helvetica" w:hAnsi="Helvetica" w:cs="Helvetica"/>
          <w:sz w:val="20"/>
          <w:szCs w:val="20"/>
        </w:rPr>
        <w:t xml:space="preserve"> and federal tax credits for paid sick leave</w:t>
      </w:r>
      <w:r w:rsidR="6708E650" w:rsidRPr="6D4DA2E5">
        <w:rPr>
          <w:rFonts w:ascii="Helvetica" w:hAnsi="Helvetica" w:cs="Helvetica"/>
          <w:sz w:val="20"/>
          <w:szCs w:val="20"/>
        </w:rPr>
        <w:t>,</w:t>
      </w:r>
      <w:r w:rsidRPr="6D4DA2E5">
        <w:rPr>
          <w:rStyle w:val="FootnoteReference"/>
          <w:rFonts w:ascii="Helvetica" w:hAnsi="Helvetica" w:cs="Helvetica"/>
          <w:sz w:val="20"/>
          <w:szCs w:val="20"/>
        </w:rPr>
        <w:footnoteReference w:id="16"/>
      </w:r>
      <w:r w:rsidR="6708E650" w:rsidRPr="6D4DA2E5">
        <w:rPr>
          <w:rFonts w:ascii="Helvetica" w:hAnsi="Helvetica" w:cs="Helvetica"/>
          <w:sz w:val="20"/>
          <w:szCs w:val="20"/>
        </w:rPr>
        <w:t xml:space="preserve"> both of which included</w:t>
      </w:r>
      <w:r w:rsidR="7E1D968A" w:rsidRPr="6D4DA2E5">
        <w:rPr>
          <w:rFonts w:ascii="Helvetica" w:hAnsi="Helvetica" w:cs="Helvetica"/>
          <w:sz w:val="20"/>
          <w:szCs w:val="20"/>
        </w:rPr>
        <w:t xml:space="preserve"> </w:t>
      </w:r>
      <w:r w:rsidR="7B10C3F6" w:rsidRPr="6D4DA2E5">
        <w:rPr>
          <w:rFonts w:ascii="Helvetica" w:hAnsi="Helvetica" w:cs="Helvetica"/>
          <w:sz w:val="20"/>
          <w:szCs w:val="20"/>
        </w:rPr>
        <w:t>federal resources</w:t>
      </w:r>
      <w:r w:rsidR="253F02D8" w:rsidRPr="6D4DA2E5">
        <w:rPr>
          <w:rFonts w:ascii="Helvetica" w:hAnsi="Helvetica" w:cs="Helvetica"/>
          <w:sz w:val="20"/>
          <w:szCs w:val="20"/>
        </w:rPr>
        <w:t xml:space="preserve"> instead of simply placing the burden on California’s struggling employers</w:t>
      </w:r>
      <w:r w:rsidR="7B10C3F6" w:rsidRPr="6D4DA2E5">
        <w:rPr>
          <w:rFonts w:ascii="Helvetica" w:hAnsi="Helvetica" w:cs="Helvetica"/>
          <w:sz w:val="20"/>
          <w:szCs w:val="20"/>
        </w:rPr>
        <w:t>.</w:t>
      </w:r>
      <w:r>
        <w:br/>
      </w:r>
    </w:p>
    <w:p w14:paraId="413175ED" w14:textId="476EEFDE" w:rsidR="00FB4273" w:rsidRDefault="005B5F47" w:rsidP="009A2336">
      <w:pPr>
        <w:pStyle w:val="NoSpacing"/>
        <w:jc w:val="both"/>
        <w:rPr>
          <w:rFonts w:ascii="Helvetica" w:hAnsi="Helvetica" w:cs="Helvetica"/>
          <w:sz w:val="20"/>
          <w:szCs w:val="20"/>
        </w:rPr>
      </w:pPr>
      <w:r w:rsidRPr="6D4DA2E5">
        <w:rPr>
          <w:rFonts w:ascii="Helvetica" w:hAnsi="Helvetica" w:cs="Helvetica"/>
          <w:sz w:val="20"/>
          <w:szCs w:val="20"/>
        </w:rPr>
        <w:t xml:space="preserve">We </w:t>
      </w:r>
      <w:r w:rsidR="00A775E8" w:rsidRPr="6D4DA2E5">
        <w:rPr>
          <w:rFonts w:ascii="Helvetica" w:hAnsi="Helvetica" w:cs="Helvetica"/>
          <w:sz w:val="20"/>
          <w:szCs w:val="20"/>
        </w:rPr>
        <w:t>appreciate the</w:t>
      </w:r>
      <w:r w:rsidRPr="6D4DA2E5">
        <w:rPr>
          <w:rFonts w:ascii="Helvetica" w:hAnsi="Helvetica" w:cs="Helvetica"/>
          <w:sz w:val="20"/>
          <w:szCs w:val="20"/>
        </w:rPr>
        <w:t xml:space="preserve"> importance of </w:t>
      </w:r>
      <w:r w:rsidR="00A775E8" w:rsidRPr="6D4DA2E5">
        <w:rPr>
          <w:rFonts w:ascii="Helvetica" w:hAnsi="Helvetica" w:cs="Helvetica"/>
          <w:sz w:val="20"/>
          <w:szCs w:val="20"/>
        </w:rPr>
        <w:t xml:space="preserve">the continued effort to </w:t>
      </w:r>
      <w:r w:rsidRPr="6D4DA2E5">
        <w:rPr>
          <w:rFonts w:ascii="Helvetica" w:hAnsi="Helvetica" w:cs="Helvetica"/>
          <w:sz w:val="20"/>
          <w:szCs w:val="20"/>
        </w:rPr>
        <w:t>fight COVID-19</w:t>
      </w:r>
      <w:r w:rsidR="00A775E8" w:rsidRPr="6D4DA2E5">
        <w:rPr>
          <w:rFonts w:ascii="Helvetica" w:hAnsi="Helvetica" w:cs="Helvetica"/>
          <w:sz w:val="20"/>
          <w:szCs w:val="20"/>
        </w:rPr>
        <w:t xml:space="preserve"> and maintain safety in the workplace for our employees.</w:t>
      </w:r>
      <w:r w:rsidRPr="6D4DA2E5">
        <w:rPr>
          <w:rFonts w:ascii="Helvetica" w:hAnsi="Helvetica" w:cs="Helvetica"/>
          <w:sz w:val="20"/>
          <w:szCs w:val="20"/>
        </w:rPr>
        <w:t xml:space="preserve"> </w:t>
      </w:r>
      <w:r w:rsidR="008B17D3" w:rsidRPr="6D4DA2E5">
        <w:rPr>
          <w:rFonts w:ascii="Helvetica" w:hAnsi="Helvetica" w:cs="Helvetica"/>
          <w:sz w:val="20"/>
          <w:szCs w:val="20"/>
        </w:rPr>
        <w:t xml:space="preserve">However, we believe these two specific areas </w:t>
      </w:r>
      <w:r w:rsidR="006F0C0B" w:rsidRPr="6D4DA2E5">
        <w:rPr>
          <w:rFonts w:ascii="Helvetica" w:hAnsi="Helvetica" w:cs="Helvetica"/>
          <w:sz w:val="20"/>
          <w:szCs w:val="20"/>
        </w:rPr>
        <w:t xml:space="preserve">of the Regulation </w:t>
      </w:r>
      <w:r w:rsidR="008B17D3" w:rsidRPr="6D4DA2E5">
        <w:rPr>
          <w:rFonts w:ascii="Helvetica" w:hAnsi="Helvetica" w:cs="Helvetica"/>
          <w:sz w:val="20"/>
          <w:szCs w:val="20"/>
        </w:rPr>
        <w:t xml:space="preserve">deserve your </w:t>
      </w:r>
      <w:r w:rsidR="00A775E8" w:rsidRPr="6D4DA2E5">
        <w:rPr>
          <w:rFonts w:ascii="Helvetica" w:hAnsi="Helvetica" w:cs="Helvetica"/>
          <w:sz w:val="20"/>
          <w:szCs w:val="20"/>
        </w:rPr>
        <w:t xml:space="preserve">immediate </w:t>
      </w:r>
      <w:r w:rsidR="008B17D3" w:rsidRPr="6D4DA2E5">
        <w:rPr>
          <w:rFonts w:ascii="Helvetica" w:hAnsi="Helvetica" w:cs="Helvetica"/>
          <w:sz w:val="20"/>
          <w:szCs w:val="20"/>
        </w:rPr>
        <w:t xml:space="preserve">attention </w:t>
      </w:r>
      <w:r w:rsidR="00A775E8" w:rsidRPr="6D4DA2E5">
        <w:rPr>
          <w:rFonts w:ascii="Helvetica" w:hAnsi="Helvetica" w:cs="Helvetica"/>
          <w:sz w:val="20"/>
          <w:szCs w:val="20"/>
        </w:rPr>
        <w:t>given the undue financial burden these provisions are placing on California employers who simply cannot afford it.</w:t>
      </w:r>
      <w:r w:rsidR="00AB128B" w:rsidRPr="6D4DA2E5">
        <w:rPr>
          <w:rFonts w:ascii="Helvetica" w:hAnsi="Helvetica" w:cs="Helvetica"/>
          <w:sz w:val="20"/>
          <w:szCs w:val="20"/>
        </w:rPr>
        <w:t xml:space="preserve"> </w:t>
      </w:r>
    </w:p>
    <w:p w14:paraId="4CF25486" w14:textId="4BD7DC29" w:rsidR="6D4DA2E5" w:rsidRDefault="00E74A10" w:rsidP="6D4DA2E5">
      <w:pPr>
        <w:pStyle w:val="NoSpacing"/>
        <w:jc w:val="both"/>
        <w:rPr>
          <w:rFonts w:ascii="Helvetica" w:hAnsi="Helvetica" w:cs="Helvetica"/>
          <w:sz w:val="20"/>
          <w:szCs w:val="20"/>
        </w:rPr>
      </w:pPr>
      <w:r>
        <w:rPr>
          <w:noProof/>
        </w:rPr>
        <w:drawing>
          <wp:anchor distT="0" distB="0" distL="114300" distR="114300" simplePos="0" relativeHeight="251658240" behindDoc="1" locked="0" layoutInCell="1" allowOverlap="1" wp14:anchorId="483CDAB8" wp14:editId="0A2AA015">
            <wp:simplePos x="0" y="0"/>
            <wp:positionH relativeFrom="column">
              <wp:posOffset>-243840</wp:posOffset>
            </wp:positionH>
            <wp:positionV relativeFrom="paragraph">
              <wp:posOffset>158750</wp:posOffset>
            </wp:positionV>
            <wp:extent cx="2066544" cy="6858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66544" cy="685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D6E7B46" w14:textId="0D9297D7" w:rsidR="00362A12" w:rsidRDefault="00362A12" w:rsidP="009A2336">
      <w:pPr>
        <w:pStyle w:val="NoSpacing"/>
        <w:jc w:val="both"/>
        <w:rPr>
          <w:rFonts w:ascii="Helvetica" w:hAnsi="Helvetica" w:cs="Helvetica"/>
          <w:sz w:val="20"/>
          <w:szCs w:val="20"/>
        </w:rPr>
      </w:pPr>
      <w:r>
        <w:rPr>
          <w:rFonts w:ascii="Helvetica" w:hAnsi="Helvetica" w:cs="Helvetica"/>
          <w:sz w:val="20"/>
          <w:szCs w:val="20"/>
        </w:rPr>
        <w:t>Sincerely,</w:t>
      </w:r>
    </w:p>
    <w:p w14:paraId="7D5AFEFB" w14:textId="7FEA4893" w:rsidR="00600607" w:rsidRDefault="00600607" w:rsidP="009A2336">
      <w:pPr>
        <w:pStyle w:val="NoSpacing"/>
        <w:jc w:val="both"/>
        <w:rPr>
          <w:rFonts w:ascii="Helvetica" w:hAnsi="Helvetica" w:cs="Helvetica"/>
          <w:sz w:val="20"/>
          <w:szCs w:val="20"/>
        </w:rPr>
      </w:pPr>
    </w:p>
    <w:p w14:paraId="18FB3ECA" w14:textId="58406518" w:rsidR="00600607" w:rsidRDefault="00600607" w:rsidP="009A2336">
      <w:pPr>
        <w:pStyle w:val="NoSpacing"/>
        <w:jc w:val="both"/>
        <w:rPr>
          <w:rFonts w:ascii="Helvetica" w:hAnsi="Helvetica" w:cs="Helvetica"/>
          <w:sz w:val="20"/>
          <w:szCs w:val="20"/>
        </w:rPr>
      </w:pPr>
    </w:p>
    <w:p w14:paraId="358CBC24" w14:textId="186FC998" w:rsidR="00600607" w:rsidRDefault="00600607" w:rsidP="009A2336">
      <w:pPr>
        <w:pStyle w:val="NoSpacing"/>
        <w:jc w:val="both"/>
        <w:rPr>
          <w:rFonts w:ascii="Helvetica" w:hAnsi="Helvetica" w:cs="Helvetica"/>
          <w:sz w:val="20"/>
          <w:szCs w:val="20"/>
        </w:rPr>
      </w:pPr>
    </w:p>
    <w:p w14:paraId="58EC1219" w14:textId="3AB33CB5" w:rsidR="00600607" w:rsidRDefault="00600607" w:rsidP="009A2336">
      <w:pPr>
        <w:pStyle w:val="NoSpacing"/>
        <w:jc w:val="both"/>
        <w:rPr>
          <w:rFonts w:ascii="Helvetica" w:hAnsi="Helvetica" w:cs="Helvetica"/>
          <w:sz w:val="20"/>
          <w:szCs w:val="20"/>
        </w:rPr>
      </w:pPr>
      <w:r>
        <w:rPr>
          <w:rFonts w:ascii="Helvetica" w:hAnsi="Helvetica" w:cs="Helvetica"/>
          <w:sz w:val="20"/>
          <w:szCs w:val="20"/>
        </w:rPr>
        <w:t>Robert Moutrie</w:t>
      </w:r>
    </w:p>
    <w:p w14:paraId="092CB69C" w14:textId="6151D2AB" w:rsidR="00600607" w:rsidRDefault="00600607" w:rsidP="009A2336">
      <w:pPr>
        <w:pStyle w:val="NoSpacing"/>
        <w:jc w:val="both"/>
        <w:rPr>
          <w:rFonts w:ascii="Helvetica" w:hAnsi="Helvetica" w:cs="Helvetica"/>
          <w:sz w:val="20"/>
          <w:szCs w:val="20"/>
        </w:rPr>
      </w:pPr>
      <w:r>
        <w:rPr>
          <w:rFonts w:ascii="Helvetica" w:hAnsi="Helvetica" w:cs="Helvetica"/>
          <w:sz w:val="20"/>
          <w:szCs w:val="20"/>
        </w:rPr>
        <w:t>Policy Advocate</w:t>
      </w:r>
    </w:p>
    <w:p w14:paraId="1B0BD306" w14:textId="2FAB4C0C" w:rsidR="00600607" w:rsidRDefault="00600607" w:rsidP="009A2336">
      <w:pPr>
        <w:pStyle w:val="NoSpacing"/>
        <w:jc w:val="both"/>
        <w:rPr>
          <w:rFonts w:ascii="Helvetica" w:hAnsi="Helvetica" w:cs="Helvetica"/>
          <w:sz w:val="20"/>
          <w:szCs w:val="20"/>
        </w:rPr>
      </w:pPr>
    </w:p>
    <w:p w14:paraId="0690376B" w14:textId="7A9C04F0" w:rsidR="2A17473B" w:rsidRDefault="0009598D" w:rsidP="0009598D">
      <w:pPr>
        <w:pStyle w:val="NoSpacing"/>
        <w:jc w:val="both"/>
        <w:rPr>
          <w:rFonts w:ascii="Helvetica" w:hAnsi="Helvetica" w:cs="Helvetica"/>
          <w:sz w:val="20"/>
          <w:szCs w:val="20"/>
        </w:rPr>
      </w:pPr>
      <w:r>
        <w:rPr>
          <w:rFonts w:ascii="Helvetica" w:hAnsi="Helvetica" w:cs="Helvetica"/>
          <w:sz w:val="20"/>
          <w:szCs w:val="20"/>
        </w:rPr>
        <w:t>c</w:t>
      </w:r>
      <w:r w:rsidR="00600607" w:rsidRPr="6D4DA2E5">
        <w:rPr>
          <w:rFonts w:ascii="Helvetica" w:hAnsi="Helvetica" w:cs="Helvetica"/>
          <w:sz w:val="20"/>
          <w:szCs w:val="20"/>
        </w:rPr>
        <w:t>c:</w:t>
      </w:r>
      <w:r>
        <w:rPr>
          <w:rFonts w:ascii="Helvetica" w:hAnsi="Helvetica" w:cs="Helvetica"/>
          <w:sz w:val="20"/>
          <w:szCs w:val="20"/>
        </w:rPr>
        <w:tab/>
      </w:r>
      <w:r>
        <w:rPr>
          <w:rFonts w:ascii="Helvetica" w:hAnsi="Helvetica" w:cs="Helvetica"/>
          <w:sz w:val="20"/>
          <w:szCs w:val="20"/>
        </w:rPr>
        <w:tab/>
      </w:r>
      <w:r w:rsidR="2A17473B" w:rsidRPr="6D4DA2E5">
        <w:rPr>
          <w:rFonts w:ascii="Helvetica" w:hAnsi="Helvetica" w:cs="Helvetica"/>
          <w:sz w:val="20"/>
          <w:szCs w:val="20"/>
        </w:rPr>
        <w:t>Angi</w:t>
      </w:r>
      <w:r w:rsidR="002D45AD">
        <w:rPr>
          <w:rFonts w:ascii="Helvetica" w:hAnsi="Helvetica" w:cs="Helvetica"/>
          <w:sz w:val="20"/>
          <w:szCs w:val="20"/>
        </w:rPr>
        <w:t>e</w:t>
      </w:r>
      <w:r w:rsidR="2A17473B" w:rsidRPr="6D4DA2E5">
        <w:rPr>
          <w:rFonts w:ascii="Helvetica" w:hAnsi="Helvetica" w:cs="Helvetica"/>
          <w:sz w:val="20"/>
          <w:szCs w:val="20"/>
        </w:rPr>
        <w:t xml:space="preserve"> Wei, </w:t>
      </w:r>
      <w:r w:rsidR="1E886AD9" w:rsidRPr="6D4DA2E5">
        <w:rPr>
          <w:rFonts w:ascii="Helvetica" w:hAnsi="Helvetica" w:cs="Helvetica"/>
          <w:sz w:val="20"/>
          <w:szCs w:val="20"/>
        </w:rPr>
        <w:t>Special Advisor to the Governor</w:t>
      </w:r>
    </w:p>
    <w:p w14:paraId="1502AAC8" w14:textId="59D8020D" w:rsidR="1BCABAE2" w:rsidRDefault="1BCABAE2" w:rsidP="0009598D">
      <w:pPr>
        <w:pStyle w:val="NoSpacing"/>
        <w:ind w:left="288" w:firstLine="288"/>
        <w:jc w:val="both"/>
        <w:rPr>
          <w:rFonts w:ascii="Helvetica" w:hAnsi="Helvetica" w:cs="Helvetica"/>
          <w:sz w:val="20"/>
          <w:szCs w:val="20"/>
        </w:rPr>
      </w:pPr>
      <w:r w:rsidRPr="6D4DA2E5">
        <w:rPr>
          <w:rFonts w:ascii="Helvetica" w:hAnsi="Helvetica" w:cs="Helvetica"/>
          <w:sz w:val="20"/>
          <w:szCs w:val="20"/>
        </w:rPr>
        <w:t>Stuart Thompson, Chief Deputy Legislative Secretary</w:t>
      </w:r>
    </w:p>
    <w:p w14:paraId="4ED3952C" w14:textId="260E9AC5" w:rsidR="002D45AD" w:rsidRDefault="002D45AD" w:rsidP="0009598D">
      <w:pPr>
        <w:pStyle w:val="NoSpacing"/>
        <w:ind w:left="288" w:firstLine="288"/>
        <w:jc w:val="both"/>
        <w:rPr>
          <w:rFonts w:ascii="Helvetica" w:hAnsi="Helvetica" w:cs="Helvetica"/>
          <w:sz w:val="20"/>
          <w:szCs w:val="20"/>
        </w:rPr>
      </w:pPr>
      <w:r w:rsidRPr="6D4DA2E5">
        <w:rPr>
          <w:rFonts w:ascii="Helvetica" w:hAnsi="Helvetica" w:cs="Helvetica"/>
          <w:sz w:val="20"/>
          <w:szCs w:val="20"/>
        </w:rPr>
        <w:t xml:space="preserve">Dee </w:t>
      </w:r>
      <w:proofErr w:type="spellStart"/>
      <w:r w:rsidRPr="6D4DA2E5">
        <w:rPr>
          <w:rFonts w:ascii="Helvetica" w:hAnsi="Helvetica" w:cs="Helvetica"/>
          <w:sz w:val="20"/>
          <w:szCs w:val="20"/>
        </w:rPr>
        <w:t>Dee</w:t>
      </w:r>
      <w:proofErr w:type="spellEnd"/>
      <w:r w:rsidRPr="6D4DA2E5">
        <w:rPr>
          <w:rFonts w:ascii="Helvetica" w:hAnsi="Helvetica" w:cs="Helvetica"/>
          <w:sz w:val="20"/>
          <w:szCs w:val="20"/>
        </w:rPr>
        <w:t xml:space="preserve"> Myers, Governor’s Office of Business and Economic Development</w:t>
      </w:r>
    </w:p>
    <w:p w14:paraId="3FAF0E36" w14:textId="168D04FA" w:rsidR="6D4DA2E5" w:rsidRDefault="6D4DA2E5" w:rsidP="6D4DA2E5">
      <w:pPr>
        <w:pStyle w:val="NoSpacing"/>
        <w:jc w:val="both"/>
        <w:rPr>
          <w:rFonts w:ascii="Helvetica" w:hAnsi="Helvetica" w:cs="Helvetica"/>
          <w:sz w:val="20"/>
          <w:szCs w:val="20"/>
        </w:rPr>
      </w:pPr>
    </w:p>
    <w:p w14:paraId="30DC9F5A" w14:textId="3CE55E6E" w:rsidR="00600607" w:rsidRPr="009A2336" w:rsidRDefault="00600607" w:rsidP="009A2336">
      <w:pPr>
        <w:pStyle w:val="NoSpacing"/>
        <w:jc w:val="both"/>
        <w:rPr>
          <w:rFonts w:ascii="Helvetica" w:hAnsi="Helvetica" w:cs="Helvetica"/>
          <w:sz w:val="20"/>
          <w:szCs w:val="20"/>
        </w:rPr>
      </w:pPr>
      <w:proofErr w:type="spellStart"/>
      <w:proofErr w:type="gramStart"/>
      <w:r>
        <w:rPr>
          <w:rFonts w:ascii="Helvetica" w:hAnsi="Helvetica" w:cs="Helvetica"/>
          <w:sz w:val="20"/>
          <w:szCs w:val="20"/>
        </w:rPr>
        <w:t>RM:ldl</w:t>
      </w:r>
      <w:proofErr w:type="spellEnd"/>
      <w:proofErr w:type="gramEnd"/>
    </w:p>
    <w:p w14:paraId="6913EC74" w14:textId="77777777" w:rsidR="00CC26E8" w:rsidRPr="009A2336" w:rsidRDefault="00CC26E8" w:rsidP="009A2336">
      <w:pPr>
        <w:pStyle w:val="NoSpacing"/>
        <w:jc w:val="both"/>
        <w:rPr>
          <w:rFonts w:ascii="Helvetica" w:hAnsi="Helvetica" w:cs="Helvetica"/>
          <w:sz w:val="20"/>
          <w:szCs w:val="20"/>
        </w:rPr>
      </w:pPr>
    </w:p>
    <w:p w14:paraId="2321FC13" w14:textId="77777777" w:rsidR="00FA32A1" w:rsidRPr="009A2336" w:rsidRDefault="00FA32A1" w:rsidP="009A2336">
      <w:pPr>
        <w:pStyle w:val="NoSpacing"/>
        <w:jc w:val="both"/>
        <w:rPr>
          <w:rFonts w:ascii="Helvetica" w:hAnsi="Helvetica" w:cs="Helvetica"/>
          <w:sz w:val="20"/>
          <w:szCs w:val="20"/>
        </w:rPr>
      </w:pPr>
    </w:p>
    <w:sectPr w:rsidR="00FA32A1" w:rsidRPr="009A2336" w:rsidSect="00FA1CB3">
      <w:headerReference w:type="even" r:id="rId12"/>
      <w:headerReference w:type="first" r:id="rId13"/>
      <w:footerReference w:type="first" r:id="rId14"/>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1C2CF8" w14:textId="77777777" w:rsidR="00F942F3" w:rsidRDefault="00F942F3">
      <w:r>
        <w:separator/>
      </w:r>
    </w:p>
  </w:endnote>
  <w:endnote w:type="continuationSeparator" w:id="0">
    <w:p w14:paraId="5F3815BC" w14:textId="77777777" w:rsidR="00F942F3" w:rsidRDefault="00F942F3">
      <w:r>
        <w:continuationSeparator/>
      </w:r>
    </w:p>
  </w:endnote>
  <w:endnote w:type="continuationNotice" w:id="1">
    <w:p w14:paraId="65BA17A2" w14:textId="77777777" w:rsidR="00F942F3" w:rsidRDefault="00F942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7A148B" w14:textId="70BFB738" w:rsidR="006531A8" w:rsidRDefault="17AED955">
    <w:pPr>
      <w:pStyle w:val="Footer"/>
      <w:jc w:val="right"/>
    </w:pPr>
    <w:r>
      <w:rPr>
        <w:noProof/>
      </w:rPr>
      <w:drawing>
        <wp:inline distT="0" distB="0" distL="0" distR="0" wp14:anchorId="0FDD930D" wp14:editId="17AED955">
          <wp:extent cx="1095375" cy="476250"/>
          <wp:effectExtent l="0" t="0" r="0" b="0"/>
          <wp:docPr id="2" name="Picture 2" descr="calchamber_letterhead_bottom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095375" cy="47625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4BBEF5" w14:textId="77777777" w:rsidR="00F942F3" w:rsidRDefault="00F942F3">
      <w:r>
        <w:separator/>
      </w:r>
    </w:p>
  </w:footnote>
  <w:footnote w:type="continuationSeparator" w:id="0">
    <w:p w14:paraId="28052865" w14:textId="77777777" w:rsidR="00F942F3" w:rsidRDefault="00F942F3">
      <w:r>
        <w:continuationSeparator/>
      </w:r>
    </w:p>
  </w:footnote>
  <w:footnote w:type="continuationNotice" w:id="1">
    <w:p w14:paraId="2D1A54A9" w14:textId="77777777" w:rsidR="00F942F3" w:rsidRDefault="00F942F3"/>
  </w:footnote>
  <w:footnote w:id="2">
    <w:p w14:paraId="759AF832" w14:textId="52357CDE" w:rsidR="00C377F6" w:rsidRPr="00AB128B" w:rsidRDefault="00C377F6" w:rsidP="00946FD9">
      <w:pPr>
        <w:pStyle w:val="FootnoteText"/>
        <w:jc w:val="both"/>
        <w:rPr>
          <w:rFonts w:ascii="Helvetica" w:hAnsi="Helvetica" w:cs="Helvetica"/>
        </w:rPr>
      </w:pPr>
      <w:r w:rsidRPr="00AB128B">
        <w:rPr>
          <w:rStyle w:val="FootnoteReference"/>
          <w:rFonts w:ascii="Helvetica" w:hAnsi="Helvetica" w:cs="Helvetica"/>
        </w:rPr>
        <w:footnoteRef/>
      </w:r>
      <w:r w:rsidR="17AED955" w:rsidRPr="00AB128B">
        <w:rPr>
          <w:rFonts w:ascii="Helvetica" w:hAnsi="Helvetica" w:cs="Helvetica"/>
        </w:rPr>
        <w:t xml:space="preserve"> Defined as being within six feet of the COVID-19 case for 15 minutes, regardless of mask or dividers</w:t>
      </w:r>
      <w:r w:rsidR="17AED955">
        <w:rPr>
          <w:rFonts w:ascii="Helvetica" w:hAnsi="Helvetica" w:cs="Helvetica"/>
        </w:rPr>
        <w:t xml:space="preserve">. </w:t>
      </w:r>
      <w:r w:rsidR="17AED955" w:rsidRPr="17AED955">
        <w:rPr>
          <w:rFonts w:ascii="Helvetica" w:hAnsi="Helvetica" w:cs="Helvetica"/>
          <w:i/>
          <w:iCs/>
        </w:rPr>
        <w:t xml:space="preserve">See </w:t>
      </w:r>
      <w:r w:rsidR="17AED955" w:rsidRPr="00AB128B">
        <w:rPr>
          <w:rFonts w:ascii="Helvetica" w:hAnsi="Helvetica" w:cs="Helvetica"/>
        </w:rPr>
        <w:t>Section 3205(b)(3).</w:t>
      </w:r>
    </w:p>
  </w:footnote>
  <w:footnote w:id="3">
    <w:p w14:paraId="6E9D9274" w14:textId="3204C839" w:rsidR="00EA2579" w:rsidRPr="00AB128B" w:rsidRDefault="00EA2579" w:rsidP="00946FD9">
      <w:pPr>
        <w:pStyle w:val="FootnoteText"/>
        <w:jc w:val="both"/>
        <w:rPr>
          <w:rFonts w:ascii="Helvetica" w:hAnsi="Helvetica" w:cs="Helvetica"/>
        </w:rPr>
      </w:pPr>
      <w:r w:rsidRPr="00AB128B">
        <w:rPr>
          <w:rStyle w:val="FootnoteReference"/>
          <w:rFonts w:ascii="Helvetica" w:hAnsi="Helvetica" w:cs="Helvetica"/>
        </w:rPr>
        <w:footnoteRef/>
      </w:r>
      <w:r w:rsidRPr="00AB128B">
        <w:rPr>
          <w:rFonts w:ascii="Helvetica" w:hAnsi="Helvetica" w:cs="Helvetica"/>
        </w:rPr>
        <w:t xml:space="preserve"> </w:t>
      </w:r>
      <w:r w:rsidR="00790037" w:rsidRPr="00AB128B">
        <w:rPr>
          <w:rFonts w:ascii="Helvetica" w:hAnsi="Helvetica" w:cs="Helvetica"/>
        </w:rPr>
        <w:t>Section 3205(c)(10)(C)</w:t>
      </w:r>
      <w:r w:rsidR="007E01C3" w:rsidRPr="00AB128B">
        <w:rPr>
          <w:rFonts w:ascii="Helvetica" w:hAnsi="Helvetica" w:cs="Helvetica"/>
        </w:rPr>
        <w:t>.</w:t>
      </w:r>
    </w:p>
  </w:footnote>
  <w:footnote w:id="4">
    <w:p w14:paraId="509C8307" w14:textId="77777777" w:rsidR="006B7D39" w:rsidRPr="00AB128B" w:rsidRDefault="006B7D39" w:rsidP="006B7D39">
      <w:pPr>
        <w:pStyle w:val="FootnoteText"/>
        <w:jc w:val="both"/>
        <w:rPr>
          <w:rFonts w:ascii="Helvetica" w:hAnsi="Helvetica" w:cs="Helvetica"/>
        </w:rPr>
      </w:pPr>
      <w:r w:rsidRPr="00AB128B">
        <w:rPr>
          <w:rStyle w:val="FootnoteReference"/>
          <w:rFonts w:ascii="Helvetica" w:hAnsi="Helvetica" w:cs="Helvetica"/>
        </w:rPr>
        <w:footnoteRef/>
      </w:r>
      <w:r w:rsidRPr="00AB128B">
        <w:rPr>
          <w:rFonts w:ascii="Helvetica" w:hAnsi="Helvetica" w:cs="Helvetica"/>
        </w:rPr>
        <w:t xml:space="preserve"> Though the initial ETS provided for a 14-day exclusion, the Governor’s EO N-84-20 adjusted this period to 10 days, subject to certain requirements, to be consistent with national standards.</w:t>
      </w:r>
    </w:p>
  </w:footnote>
  <w:footnote w:id="5">
    <w:p w14:paraId="1F5B8374" w14:textId="6992DE3F" w:rsidR="006B7D39" w:rsidRDefault="006B7D39" w:rsidP="006B7D39">
      <w:pPr>
        <w:pStyle w:val="FootnoteText"/>
        <w:jc w:val="both"/>
        <w:rPr>
          <w:rFonts w:ascii="Helvetica" w:hAnsi="Helvetica" w:cs="Helvetica"/>
        </w:rPr>
      </w:pPr>
      <w:r w:rsidRPr="00AB128B">
        <w:rPr>
          <w:rStyle w:val="FootnoteReference"/>
          <w:rFonts w:ascii="Helvetica" w:hAnsi="Helvetica" w:cs="Helvetica"/>
        </w:rPr>
        <w:footnoteRef/>
      </w:r>
      <w:r w:rsidRPr="00AB128B">
        <w:rPr>
          <w:rFonts w:ascii="Helvetica" w:hAnsi="Helvetica" w:cs="Helvetica"/>
        </w:rPr>
        <w:t xml:space="preserve"> Notably, the obligations listed here all apply to </w:t>
      </w:r>
      <w:r w:rsidRPr="00AB128B">
        <w:rPr>
          <w:rFonts w:ascii="Helvetica" w:hAnsi="Helvetica" w:cs="Helvetica"/>
          <w:u w:val="single"/>
        </w:rPr>
        <w:t>one</w:t>
      </w:r>
      <w:r w:rsidRPr="00AB128B">
        <w:rPr>
          <w:rFonts w:ascii="Helvetica" w:hAnsi="Helvetica" w:cs="Helvetica"/>
        </w:rPr>
        <w:t xml:space="preserve"> case in the workplace and ignore the sick leave obligation related to positive tests</w:t>
      </w:r>
      <w:r w:rsidR="0009598D">
        <w:rPr>
          <w:rFonts w:ascii="Helvetica" w:hAnsi="Helvetica" w:cs="Helvetica"/>
        </w:rPr>
        <w:t xml:space="preserve">. </w:t>
      </w:r>
      <w:r w:rsidRPr="00AB128B">
        <w:rPr>
          <w:rFonts w:ascii="Helvetica" w:hAnsi="Helvetica" w:cs="Helvetica"/>
        </w:rPr>
        <w:t>There are considerable additional obligations when three cases occur in an exposed workplace, discussed in the ETS’s “outbreak” provisions – see Sections 3205.1 &amp; 3205.2</w:t>
      </w:r>
      <w:r w:rsidR="0009598D">
        <w:rPr>
          <w:rFonts w:ascii="Helvetica" w:hAnsi="Helvetica" w:cs="Helvetica"/>
        </w:rPr>
        <w:t xml:space="preserve">. </w:t>
      </w:r>
      <w:r w:rsidRPr="00AB128B">
        <w:rPr>
          <w:rFonts w:ascii="Helvetica" w:hAnsi="Helvetica" w:cs="Helvetica"/>
        </w:rPr>
        <w:t>However, for purposes of illustrating the cost of unlimited sick leave, this simple example is instructive.</w:t>
      </w:r>
    </w:p>
    <w:p w14:paraId="6DB9F689" w14:textId="77777777" w:rsidR="0009598D" w:rsidRPr="00AB128B" w:rsidRDefault="0009598D" w:rsidP="006B7D39">
      <w:pPr>
        <w:pStyle w:val="FootnoteText"/>
        <w:jc w:val="both"/>
        <w:rPr>
          <w:rFonts w:ascii="Helvetica" w:hAnsi="Helvetica" w:cs="Helvetica"/>
        </w:rPr>
      </w:pPr>
    </w:p>
  </w:footnote>
  <w:footnote w:id="6">
    <w:p w14:paraId="33D9CA4D" w14:textId="04CABBA7" w:rsidR="00E81D5F" w:rsidRPr="00A274E9" w:rsidRDefault="00E81D5F" w:rsidP="00A274E9">
      <w:pPr>
        <w:pStyle w:val="FootnoteText"/>
        <w:jc w:val="both"/>
        <w:rPr>
          <w:rFonts w:ascii="Helvetica" w:hAnsi="Helvetica" w:cs="Helvetica"/>
        </w:rPr>
      </w:pPr>
      <w:r w:rsidRPr="00A274E9">
        <w:rPr>
          <w:rStyle w:val="FootnoteReference"/>
          <w:rFonts w:ascii="Helvetica" w:hAnsi="Helvetica" w:cs="Helvetica"/>
        </w:rPr>
        <w:footnoteRef/>
      </w:r>
      <w:r w:rsidRPr="00A274E9">
        <w:rPr>
          <w:rFonts w:ascii="Helvetica" w:hAnsi="Helvetica" w:cs="Helvetica"/>
        </w:rPr>
        <w:t xml:space="preserve"> Because of AB 5 (Gonzalez), it is a challenge for employers to contract for temporary staff while employees are on paid leave for exposure to a COVID case.</w:t>
      </w:r>
    </w:p>
  </w:footnote>
  <w:footnote w:id="7">
    <w:p w14:paraId="5E4E3747" w14:textId="61B0DF43" w:rsidR="00295932" w:rsidRDefault="00295932" w:rsidP="00A274E9">
      <w:pPr>
        <w:pStyle w:val="FootnoteText"/>
        <w:jc w:val="both"/>
      </w:pPr>
      <w:r w:rsidRPr="00A274E9">
        <w:rPr>
          <w:rStyle w:val="FootnoteReference"/>
          <w:rFonts w:ascii="Helvetica" w:hAnsi="Helvetica" w:cs="Helvetica"/>
        </w:rPr>
        <w:footnoteRef/>
      </w:r>
      <w:r w:rsidRPr="00A274E9">
        <w:rPr>
          <w:rFonts w:ascii="Helvetica" w:hAnsi="Helvetica" w:cs="Helvetica"/>
        </w:rPr>
        <w:t xml:space="preserve"> See below for discussion of </w:t>
      </w:r>
      <w:r w:rsidR="00E4013F" w:rsidRPr="00A274E9">
        <w:rPr>
          <w:rFonts w:ascii="Helvetica" w:hAnsi="Helvetica" w:cs="Helvetica"/>
        </w:rPr>
        <w:t xml:space="preserve">Cal/OSHA’s intention to allow paid sick leave to be used before this unlimited paid leave </w:t>
      </w:r>
      <w:proofErr w:type="gramStart"/>
      <w:r w:rsidR="00E4013F" w:rsidRPr="00A274E9">
        <w:rPr>
          <w:rFonts w:ascii="Helvetica" w:hAnsi="Helvetica" w:cs="Helvetica"/>
        </w:rPr>
        <w:t>takes action</w:t>
      </w:r>
      <w:proofErr w:type="gramEnd"/>
      <w:r w:rsidR="00E4013F" w:rsidRPr="00A274E9">
        <w:rPr>
          <w:rFonts w:ascii="Helvetica" w:hAnsi="Helvetica" w:cs="Helvetica"/>
        </w:rPr>
        <w:t>.</w:t>
      </w:r>
    </w:p>
  </w:footnote>
  <w:footnote w:id="8">
    <w:p w14:paraId="065BB223" w14:textId="53741DD2" w:rsidR="00EC055E" w:rsidRPr="00AB128B" w:rsidRDefault="00EC055E" w:rsidP="003A6E15">
      <w:pPr>
        <w:pStyle w:val="FootnoteText"/>
        <w:jc w:val="both"/>
        <w:rPr>
          <w:rFonts w:ascii="Helvetica" w:hAnsi="Helvetica" w:cs="Helvetica"/>
        </w:rPr>
      </w:pPr>
      <w:r w:rsidRPr="00AB128B">
        <w:rPr>
          <w:rStyle w:val="FootnoteReference"/>
          <w:rFonts w:ascii="Helvetica" w:hAnsi="Helvetica" w:cs="Helvetica"/>
        </w:rPr>
        <w:footnoteRef/>
      </w:r>
      <w:r w:rsidRPr="00AB128B">
        <w:rPr>
          <w:rFonts w:ascii="Helvetica" w:hAnsi="Helvetica" w:cs="Helvetica"/>
        </w:rPr>
        <w:t xml:space="preserve"> </w:t>
      </w:r>
      <w:r w:rsidRPr="00AB128B">
        <w:rPr>
          <w:rFonts w:ascii="Helvetica" w:hAnsi="Helvetica" w:cs="Helvetica"/>
          <w:i/>
          <w:iCs/>
        </w:rPr>
        <w:t xml:space="preserve">See </w:t>
      </w:r>
      <w:r w:rsidRPr="00AB128B">
        <w:rPr>
          <w:rFonts w:ascii="Helvetica" w:hAnsi="Helvetica" w:cs="Helvetica"/>
        </w:rPr>
        <w:t xml:space="preserve">Section 3205(c)(10)(C) – “Employers may use </w:t>
      </w:r>
      <w:r w:rsidR="00F36886" w:rsidRPr="00AB128B">
        <w:rPr>
          <w:rFonts w:ascii="Helvetica" w:hAnsi="Helvetica" w:cs="Helvetica"/>
        </w:rPr>
        <w:t xml:space="preserve">employer-provided employee sick leave benefits for this purpose …”; </w:t>
      </w:r>
      <w:r w:rsidR="00F36886" w:rsidRPr="00AB128B">
        <w:rPr>
          <w:rFonts w:ascii="Helvetica" w:hAnsi="Helvetica" w:cs="Helvetica"/>
          <w:i/>
          <w:iCs/>
        </w:rPr>
        <w:t xml:space="preserve">See also </w:t>
      </w:r>
      <w:r w:rsidR="00F36886" w:rsidRPr="00AB128B">
        <w:rPr>
          <w:rFonts w:ascii="Helvetica" w:hAnsi="Helvetica" w:cs="Helvetica"/>
        </w:rPr>
        <w:t>FAQ’s to the ETS – “</w:t>
      </w:r>
      <w:r w:rsidR="00433C21" w:rsidRPr="00AB128B">
        <w:rPr>
          <w:rFonts w:ascii="Helvetica" w:hAnsi="Helvetica" w:cs="Helvetica"/>
        </w:rPr>
        <w:t xml:space="preserve">An employer may require the employee to exhaust paid sick leave benefits before providing exclusion pay, to the extent permitted by law …” </w:t>
      </w:r>
      <w:r w:rsidR="00EC4AD0" w:rsidRPr="00AB128B">
        <w:rPr>
          <w:rFonts w:ascii="Helvetica" w:hAnsi="Helvetica" w:cs="Helvetica"/>
        </w:rPr>
        <w:t xml:space="preserve">(available at: </w:t>
      </w:r>
      <w:r w:rsidR="006A361F" w:rsidRPr="00AB128B">
        <w:rPr>
          <w:rFonts w:ascii="Helvetica" w:hAnsi="Helvetica" w:cs="Helvetica"/>
        </w:rPr>
        <w:t>https://www.dir.ca.gov/dosh/coronavirus/COVID19FAQs.html)</w:t>
      </w:r>
      <w:r w:rsidR="000104A5">
        <w:rPr>
          <w:rFonts w:ascii="Helvetica" w:hAnsi="Helvetica" w:cs="Helvetica"/>
        </w:rPr>
        <w:t>.</w:t>
      </w:r>
    </w:p>
  </w:footnote>
  <w:footnote w:id="9">
    <w:p w14:paraId="791DC892" w14:textId="1E12B222" w:rsidR="00403581" w:rsidRPr="00AB128B" w:rsidDel="00E81D5F" w:rsidRDefault="00403581" w:rsidP="003A6E15">
      <w:pPr>
        <w:pStyle w:val="FootnoteText"/>
        <w:jc w:val="both"/>
        <w:rPr>
          <w:rFonts w:ascii="Helvetica" w:hAnsi="Helvetica" w:cs="Helvetica"/>
        </w:rPr>
      </w:pPr>
      <w:r w:rsidRPr="00AB128B">
        <w:rPr>
          <w:rStyle w:val="FootnoteReference"/>
          <w:rFonts w:ascii="Helvetica" w:hAnsi="Helvetica" w:cs="Helvetica"/>
        </w:rPr>
        <w:footnoteRef/>
      </w:r>
      <w:r w:rsidR="6D4DA2E5" w:rsidRPr="00AB128B" w:rsidDel="00E81D5F">
        <w:rPr>
          <w:rFonts w:ascii="Helvetica" w:hAnsi="Helvetica" w:cs="Helvetica"/>
        </w:rPr>
        <w:t xml:space="preserve"> </w:t>
      </w:r>
      <w:r w:rsidR="6D4DA2E5" w:rsidRPr="6D4DA2E5" w:rsidDel="00E81D5F">
        <w:rPr>
          <w:rFonts w:ascii="Helvetica" w:hAnsi="Helvetica" w:cs="Helvetica"/>
          <w:i/>
          <w:iCs/>
        </w:rPr>
        <w:t xml:space="preserve">See Labor Code § </w:t>
      </w:r>
      <w:r w:rsidR="6D4DA2E5" w:rsidRPr="00AB128B" w:rsidDel="00E81D5F">
        <w:rPr>
          <w:rFonts w:ascii="Helvetica" w:hAnsi="Helvetica" w:cs="Helvetica"/>
        </w:rPr>
        <w:t xml:space="preserve">233 “… Employees have the sole discretion to designate days taken as paid sick leave under </w:t>
      </w:r>
      <w:r w:rsidR="0009598D">
        <w:rPr>
          <w:rFonts w:ascii="Helvetica" w:hAnsi="Helvetica" w:cs="Helvetica"/>
        </w:rPr>
        <w:t>S</w:t>
      </w:r>
      <w:r w:rsidR="6D4DA2E5" w:rsidRPr="00AB128B" w:rsidDel="00E81D5F">
        <w:rPr>
          <w:rFonts w:ascii="Helvetica" w:hAnsi="Helvetica" w:cs="Helvetica"/>
        </w:rPr>
        <w:t xml:space="preserve">ection 233.”; DLSE Enforcement Manual – “30.2 Entitlement: An employee who … works in California for 30 or more days within a year for the same employer is entitled to paid sick days …An employee may determine how much paid sick leave he or she uses at any given time.” (available at: </w:t>
      </w:r>
      <w:hyperlink r:id="rId1" w:history="1">
        <w:r w:rsidR="6D4DA2E5" w:rsidRPr="00AB128B" w:rsidDel="00E81D5F">
          <w:rPr>
            <w:rStyle w:val="Hyperlink"/>
            <w:rFonts w:ascii="Helvetica" w:hAnsi="Helvetica" w:cs="Helvetica"/>
          </w:rPr>
          <w:t>https://www.dir.ca.gov/dlse/dlsemanual/dlse_enfcmanual.pdf</w:t>
        </w:r>
      </w:hyperlink>
      <w:r w:rsidR="6D4DA2E5" w:rsidRPr="00AB128B" w:rsidDel="00E81D5F">
        <w:rPr>
          <w:rFonts w:ascii="Helvetica" w:hAnsi="Helvetica" w:cs="Helvetica"/>
        </w:rPr>
        <w:t>); DLSE FAQ on paid sick leave – “For what purposes can an employee take paid sick leave – What can I use sick leave for?  …The employee may decide how much paid sick leave he or she wants to use (for example, whether you want to take an entire day, or only part of a day)</w:t>
      </w:r>
      <w:r w:rsidR="0009598D">
        <w:rPr>
          <w:rFonts w:ascii="Helvetica" w:hAnsi="Helvetica" w:cs="Helvetica"/>
        </w:rPr>
        <w:t xml:space="preserve">. </w:t>
      </w:r>
      <w:r w:rsidR="6D4DA2E5" w:rsidRPr="00AB128B" w:rsidDel="00E81D5F">
        <w:rPr>
          <w:rFonts w:ascii="Helvetica" w:hAnsi="Helvetica" w:cs="Helvetica"/>
        </w:rPr>
        <w:t>Your employer can require you to take a minimum of at least two hours of paid sick leave at time, but otherwise the determination of how much time is needed is left to the employee.”</w:t>
      </w:r>
    </w:p>
  </w:footnote>
  <w:footnote w:id="10">
    <w:p w14:paraId="08DE8B96" w14:textId="23CF0C8B" w:rsidR="00CD5CEB" w:rsidRPr="00AB128B" w:rsidRDefault="00CD5CEB" w:rsidP="000F7108">
      <w:pPr>
        <w:pStyle w:val="FootnoteText"/>
        <w:jc w:val="both"/>
        <w:rPr>
          <w:rFonts w:ascii="Helvetica" w:hAnsi="Helvetica" w:cs="Helvetica"/>
        </w:rPr>
      </w:pPr>
      <w:r w:rsidRPr="00AB128B">
        <w:rPr>
          <w:rStyle w:val="FootnoteReference"/>
          <w:rFonts w:ascii="Helvetica" w:hAnsi="Helvetica" w:cs="Helvetica"/>
        </w:rPr>
        <w:footnoteRef/>
      </w:r>
      <w:r w:rsidRPr="00AB128B">
        <w:rPr>
          <w:rFonts w:ascii="Helvetica" w:hAnsi="Helvetica" w:cs="Helvetica"/>
        </w:rPr>
        <w:t xml:space="preserve"> </w:t>
      </w:r>
      <w:r w:rsidR="007E01C3" w:rsidRPr="00AB128B">
        <w:rPr>
          <w:rFonts w:ascii="Helvetica" w:hAnsi="Helvetica" w:cs="Helvetica"/>
        </w:rPr>
        <w:t>Section 3205(c)(10)(C).</w:t>
      </w:r>
    </w:p>
  </w:footnote>
  <w:footnote w:id="11">
    <w:p w14:paraId="774F4E0C" w14:textId="4F261797" w:rsidR="007E01C3" w:rsidRPr="00AB128B" w:rsidRDefault="007E01C3" w:rsidP="000F7108">
      <w:pPr>
        <w:pStyle w:val="FootnoteText"/>
        <w:jc w:val="both"/>
        <w:rPr>
          <w:rFonts w:ascii="Helvetica" w:hAnsi="Helvetica" w:cs="Helvetica"/>
        </w:rPr>
      </w:pPr>
      <w:r w:rsidRPr="00AB128B">
        <w:rPr>
          <w:rStyle w:val="FootnoteReference"/>
          <w:rFonts w:ascii="Helvetica" w:hAnsi="Helvetica" w:cs="Helvetica"/>
        </w:rPr>
        <w:footnoteRef/>
      </w:r>
      <w:r w:rsidRPr="00AB128B">
        <w:rPr>
          <w:rFonts w:ascii="Helvetica" w:hAnsi="Helvetica" w:cs="Helvetica"/>
        </w:rPr>
        <w:t xml:space="preserve"> “Exposed workplace” is a defined term in the Regulation (Section </w:t>
      </w:r>
      <w:r w:rsidR="00955EEF" w:rsidRPr="00AB128B">
        <w:rPr>
          <w:rFonts w:ascii="Helvetica" w:hAnsi="Helvetica" w:cs="Helvetica"/>
        </w:rPr>
        <w:t>3205(b)(7)) and is further discussed in the associated FAQs.</w:t>
      </w:r>
    </w:p>
  </w:footnote>
  <w:footnote w:id="12">
    <w:p w14:paraId="0F0898AE" w14:textId="380BC96D" w:rsidR="000866B4" w:rsidRPr="00AB128B" w:rsidRDefault="000866B4" w:rsidP="000F7108">
      <w:pPr>
        <w:pStyle w:val="FootnoteText"/>
        <w:jc w:val="both"/>
        <w:rPr>
          <w:rFonts w:ascii="Helvetica" w:hAnsi="Helvetica" w:cs="Helvetica"/>
        </w:rPr>
      </w:pPr>
      <w:r w:rsidRPr="00AB128B">
        <w:rPr>
          <w:rStyle w:val="FootnoteReference"/>
          <w:rFonts w:ascii="Helvetica" w:hAnsi="Helvetica" w:cs="Helvetica"/>
        </w:rPr>
        <w:footnoteRef/>
      </w:r>
      <w:r w:rsidRPr="00AB128B">
        <w:rPr>
          <w:rFonts w:ascii="Helvetica" w:hAnsi="Helvetica" w:cs="Helvetica"/>
        </w:rPr>
        <w:t xml:space="preserve"> Section 3205.1</w:t>
      </w:r>
      <w:r w:rsidR="00300537">
        <w:rPr>
          <w:rFonts w:ascii="Helvetica" w:hAnsi="Helvetica" w:cs="Helvetica"/>
        </w:rPr>
        <w:t>.</w:t>
      </w:r>
    </w:p>
  </w:footnote>
  <w:footnote w:id="13">
    <w:p w14:paraId="41E46AE8" w14:textId="767CB12A" w:rsidR="00CC26E8" w:rsidRPr="00AB128B" w:rsidRDefault="00CC26E8" w:rsidP="000F7108">
      <w:pPr>
        <w:pStyle w:val="FootnoteText"/>
        <w:jc w:val="both"/>
        <w:rPr>
          <w:rFonts w:ascii="Helvetica" w:hAnsi="Helvetica" w:cs="Helvetica"/>
        </w:rPr>
      </w:pPr>
      <w:r w:rsidRPr="00AB128B">
        <w:rPr>
          <w:rStyle w:val="FootnoteReference"/>
          <w:rFonts w:ascii="Helvetica" w:hAnsi="Helvetica" w:cs="Helvetica"/>
        </w:rPr>
        <w:footnoteRef/>
      </w:r>
      <w:r w:rsidRPr="00AB128B">
        <w:rPr>
          <w:rFonts w:ascii="Helvetica" w:hAnsi="Helvetica" w:cs="Helvetica"/>
        </w:rPr>
        <w:t xml:space="preserve"> See FAQs</w:t>
      </w:r>
      <w:r w:rsidR="007C4C2C" w:rsidRPr="00AB128B">
        <w:rPr>
          <w:rFonts w:ascii="Helvetica" w:hAnsi="Helvetica" w:cs="Helvetica"/>
        </w:rPr>
        <w:t xml:space="preserve"> </w:t>
      </w:r>
      <w:r w:rsidR="0009598D">
        <w:rPr>
          <w:rFonts w:ascii="Helvetica" w:hAnsi="Helvetica" w:cs="Helvetica"/>
        </w:rPr>
        <w:t>S</w:t>
      </w:r>
      <w:r w:rsidR="007C4C2C" w:rsidRPr="00AB128B">
        <w:rPr>
          <w:rFonts w:ascii="Helvetica" w:hAnsi="Helvetica" w:cs="Helvetica"/>
        </w:rPr>
        <w:t>ection “Outbreaks and the ‘Exposed Workplace</w:t>
      </w:r>
      <w:r w:rsidR="00300537">
        <w:rPr>
          <w:rFonts w:ascii="Helvetica" w:hAnsi="Helvetica" w:cs="Helvetica"/>
        </w:rPr>
        <w:t>,</w:t>
      </w:r>
      <w:r w:rsidR="007C4C2C" w:rsidRPr="00AB128B">
        <w:rPr>
          <w:rFonts w:ascii="Helvetica" w:hAnsi="Helvetica" w:cs="Helvetica"/>
        </w:rPr>
        <w:t>’”</w:t>
      </w:r>
      <w:r w:rsidRPr="00AB128B">
        <w:rPr>
          <w:rFonts w:ascii="Helvetica" w:hAnsi="Helvetica" w:cs="Helvetica"/>
        </w:rPr>
        <w:t xml:space="preserve"> Question </w:t>
      </w:r>
      <w:r w:rsidR="007C4C2C" w:rsidRPr="00AB128B">
        <w:rPr>
          <w:rFonts w:ascii="Helvetica" w:hAnsi="Helvetica" w:cs="Helvetica"/>
        </w:rPr>
        <w:t xml:space="preserve">11: “Q: Is the “three or more cases” outbreak requirement limited to employee cases, or do cases involving anyone that has been in the workplace count towards the requirement? </w:t>
      </w:r>
      <w:r w:rsidR="009A2336" w:rsidRPr="00AB128B">
        <w:rPr>
          <w:rFonts w:ascii="Helvetica" w:hAnsi="Helvetica" w:cs="Helvetica"/>
        </w:rPr>
        <w:t>A: Any</w:t>
      </w:r>
      <w:r w:rsidR="007C4C2C" w:rsidRPr="00AB128B">
        <w:rPr>
          <w:rFonts w:ascii="Helvetica" w:hAnsi="Helvetica" w:cs="Helvetica"/>
        </w:rPr>
        <w:t xml:space="preserve"> confirmed COVID-19 case who has been in the exposed workplace during the high-risk exposure period counts towards the three-case threshold.”</w:t>
      </w:r>
    </w:p>
  </w:footnote>
  <w:footnote w:id="14">
    <w:p w14:paraId="70E33E88" w14:textId="44FD05B0" w:rsidR="000D0CF9" w:rsidRPr="00AB128B" w:rsidRDefault="000D0CF9" w:rsidP="000F7108">
      <w:pPr>
        <w:pStyle w:val="FootnoteText"/>
        <w:jc w:val="both"/>
        <w:rPr>
          <w:rFonts w:ascii="Helvetica" w:hAnsi="Helvetica" w:cs="Helvetica"/>
        </w:rPr>
      </w:pPr>
      <w:r w:rsidRPr="00AB128B">
        <w:rPr>
          <w:rStyle w:val="FootnoteReference"/>
          <w:rFonts w:ascii="Helvetica" w:hAnsi="Helvetica" w:cs="Helvetica"/>
        </w:rPr>
        <w:footnoteRef/>
      </w:r>
      <w:r w:rsidRPr="00AB128B">
        <w:rPr>
          <w:rFonts w:ascii="Helvetica" w:hAnsi="Helvetica" w:cs="Helvetica"/>
        </w:rPr>
        <w:t xml:space="preserve"> Section 3205.</w:t>
      </w:r>
      <w:r w:rsidR="007277F5" w:rsidRPr="00AB128B">
        <w:rPr>
          <w:rFonts w:ascii="Helvetica" w:hAnsi="Helvetica" w:cs="Helvetica"/>
        </w:rPr>
        <w:t>2</w:t>
      </w:r>
    </w:p>
  </w:footnote>
  <w:footnote w:id="15">
    <w:p w14:paraId="26DED3E8" w14:textId="19542C9E" w:rsidR="6D4DA2E5" w:rsidRPr="002D45AD" w:rsidRDefault="6D4DA2E5" w:rsidP="002D45AD">
      <w:pPr>
        <w:pStyle w:val="FootnoteText"/>
        <w:jc w:val="both"/>
        <w:rPr>
          <w:rFonts w:ascii="Helvetica" w:hAnsi="Helvetica" w:cs="Helvetica"/>
        </w:rPr>
      </w:pPr>
      <w:r w:rsidRPr="002D45AD">
        <w:rPr>
          <w:rStyle w:val="FootnoteReference"/>
          <w:rFonts w:ascii="Helvetica" w:hAnsi="Helvetica" w:cs="Helvetica"/>
        </w:rPr>
        <w:footnoteRef/>
      </w:r>
      <w:r w:rsidRPr="002D45AD">
        <w:rPr>
          <w:rFonts w:ascii="Helvetica" w:hAnsi="Helvetica" w:cs="Helvetica"/>
        </w:rPr>
        <w:t xml:space="preserve"> SB 91 was signed by Governor Newsom on </w:t>
      </w:r>
      <w:proofErr w:type="gramStart"/>
      <w:r w:rsidRPr="002D45AD">
        <w:rPr>
          <w:rFonts w:ascii="Helvetica" w:hAnsi="Helvetica" w:cs="Helvetica"/>
        </w:rPr>
        <w:t>January 29, 2021, and</w:t>
      </w:r>
      <w:proofErr w:type="gramEnd"/>
      <w:r w:rsidRPr="002D45AD">
        <w:rPr>
          <w:rFonts w:ascii="Helvetica" w:hAnsi="Helvetica" w:cs="Helvetica"/>
        </w:rPr>
        <w:t xml:space="preserve"> incorporated</w:t>
      </w:r>
      <w:r w:rsidR="002D45AD" w:rsidRPr="002D45AD">
        <w:rPr>
          <w:rFonts w:ascii="Helvetica" w:hAnsi="Helvetica" w:cs="Helvetica"/>
        </w:rPr>
        <w:t>.</w:t>
      </w:r>
      <w:r w:rsidRPr="002D45AD">
        <w:rPr>
          <w:rFonts w:ascii="Helvetica" w:hAnsi="Helvetica" w:cs="Helvetica"/>
        </w:rPr>
        <w:t xml:space="preserve"> </w:t>
      </w:r>
    </w:p>
  </w:footnote>
  <w:footnote w:id="16">
    <w:p w14:paraId="60F09419" w14:textId="2EF28428" w:rsidR="6D4DA2E5" w:rsidRDefault="6D4DA2E5" w:rsidP="002D45AD">
      <w:pPr>
        <w:pStyle w:val="FootnoteText"/>
        <w:spacing w:line="259" w:lineRule="auto"/>
        <w:jc w:val="both"/>
      </w:pPr>
      <w:r w:rsidRPr="002D45AD">
        <w:rPr>
          <w:rStyle w:val="FootnoteReference"/>
          <w:rFonts w:ascii="Helvetica" w:hAnsi="Helvetica" w:cs="Helvetica"/>
        </w:rPr>
        <w:footnoteRef/>
      </w:r>
      <w:r w:rsidRPr="002D45AD">
        <w:rPr>
          <w:rFonts w:ascii="Helvetica" w:hAnsi="Helvetica" w:cs="Helvetica"/>
        </w:rPr>
        <w:t xml:space="preserve"> As of the date of this letter, the Families First Coronavirus Relief Act provides businesses with tax credits to cover some of the costs of providing additional paid sick leave and expanded family leave and medical leave to employees</w:t>
      </w:r>
      <w:r w:rsidR="0009598D" w:rsidRPr="002D45AD">
        <w:rPr>
          <w:rFonts w:ascii="Helvetica" w:hAnsi="Helvetica" w:cs="Helvetica"/>
        </w:rPr>
        <w:t xml:space="preserve">. </w:t>
      </w:r>
      <w:r w:rsidRPr="002D45AD">
        <w:rPr>
          <w:rFonts w:ascii="Helvetica" w:hAnsi="Helvetica" w:cs="Helvetica"/>
        </w:rPr>
        <w:t xml:space="preserve">Notably, the Regulation does </w:t>
      </w:r>
      <w:r w:rsidRPr="002D45AD">
        <w:rPr>
          <w:rFonts w:ascii="Helvetica" w:hAnsi="Helvetica" w:cs="Helvetica"/>
          <w:u w:val="single"/>
        </w:rPr>
        <w:t>NOT</w:t>
      </w:r>
      <w:r w:rsidRPr="002D45AD">
        <w:rPr>
          <w:rFonts w:ascii="Helvetica" w:hAnsi="Helvetica" w:cs="Helvetica"/>
        </w:rPr>
        <w:t xml:space="preserve"> provide any form of tax credits for its unlimited paid leave.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A0F391" w14:textId="77777777" w:rsidR="0061211B" w:rsidRDefault="00F942F3">
    <w:pPr>
      <w:pStyle w:val="Header"/>
    </w:pPr>
    <w:r>
      <w:rPr>
        <w:noProof/>
      </w:rPr>
      <w:pict w14:anchorId="106250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alt="" style="position:absolute;margin-left:0;margin-top:0;width:396pt;height:110.4pt;z-index:-251658240;mso-wrap-edited:f;mso-width-percent:0;mso-height-percent:0;mso-position-horizontal:center;mso-position-horizontal-relative:margin;mso-position-vertical:center;mso-position-vertical-relative:margin;mso-width-percent:0;mso-height-percent:0" o:allowincell="f">
          <v:imagedata r:id="rId1" o:title="calchamber-R_slogan_GRAYSCAL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D2C41A" w14:textId="51DA7C1F" w:rsidR="006531A8" w:rsidRDefault="003E41CA">
    <w:pPr>
      <w:pStyle w:val="Header"/>
      <w:jc w:val="right"/>
    </w:pPr>
    <w:r>
      <w:rPr>
        <w:noProof/>
      </w:rPr>
      <w:drawing>
        <wp:anchor distT="0" distB="0" distL="114300" distR="114300" simplePos="0" relativeHeight="251657216" behindDoc="1" locked="0" layoutInCell="1" allowOverlap="1" wp14:anchorId="26C1CB92" wp14:editId="08C84F3D">
          <wp:simplePos x="0" y="0"/>
          <wp:positionH relativeFrom="column">
            <wp:posOffset>3327606</wp:posOffset>
          </wp:positionH>
          <wp:positionV relativeFrom="paragraph">
            <wp:posOffset>-20183</wp:posOffset>
          </wp:positionV>
          <wp:extent cx="2819400" cy="466725"/>
          <wp:effectExtent l="0" t="0" r="0" b="9525"/>
          <wp:wrapNone/>
          <wp:docPr id="1" name="Picture 1" descr="calchamber_strapline_R_ForPrint_WORDDO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lchamber_strapline_R_ForPrint_WORDDOC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9400" cy="466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B9D5B0" w14:textId="43F2B985" w:rsidR="00316BA2" w:rsidRDefault="00316BA2">
    <w:pPr>
      <w:pStyle w:val="Header"/>
      <w:jc w:val="right"/>
    </w:pPr>
  </w:p>
  <w:p w14:paraId="02479C47" w14:textId="57AE3956" w:rsidR="006531A8" w:rsidRPr="00316BA2" w:rsidRDefault="006531A8">
    <w:pPr>
      <w:pStyle w:val="Header"/>
      <w:jc w:val="right"/>
    </w:pPr>
  </w:p>
  <w:p w14:paraId="10431362" w14:textId="77777777" w:rsidR="006531A8" w:rsidRDefault="006531A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5598A"/>
    <w:multiLevelType w:val="hybridMultilevel"/>
    <w:tmpl w:val="BFB65ADA"/>
    <w:lvl w:ilvl="0" w:tplc="BA42E47E">
      <w:start w:val="1"/>
      <w:numFmt w:val="decimal"/>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AF262F3"/>
    <w:multiLevelType w:val="hybridMultilevel"/>
    <w:tmpl w:val="5B68FA6C"/>
    <w:lvl w:ilvl="0" w:tplc="568CB864">
      <w:start w:val="1"/>
      <w:numFmt w:val="bullet"/>
      <w:lvlText w:val="-"/>
      <w:lvlJc w:val="left"/>
      <w:pPr>
        <w:ind w:left="720" w:hanging="360"/>
      </w:pPr>
      <w:rPr>
        <w:rFonts w:ascii="Helvetica" w:eastAsiaTheme="minorHAnsi"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C713BC"/>
    <w:multiLevelType w:val="hybridMultilevel"/>
    <w:tmpl w:val="B466531A"/>
    <w:lvl w:ilvl="0" w:tplc="19A0767A">
      <w:start w:val="2"/>
      <w:numFmt w:val="bullet"/>
      <w:lvlText w:val="-"/>
      <w:lvlJc w:val="left"/>
      <w:pPr>
        <w:ind w:left="720" w:hanging="360"/>
      </w:pPr>
      <w:rPr>
        <w:rFonts w:ascii="Helvetica" w:eastAsiaTheme="minorHAnsi" w:hAnsi="Helvetica" w:cs="Helvetic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F2157D"/>
    <w:multiLevelType w:val="hybridMultilevel"/>
    <w:tmpl w:val="159C47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3B57C1"/>
    <w:multiLevelType w:val="hybridMultilevel"/>
    <w:tmpl w:val="0BB0D232"/>
    <w:lvl w:ilvl="0" w:tplc="86A4D40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6F63B1"/>
    <w:multiLevelType w:val="hybridMultilevel"/>
    <w:tmpl w:val="AAAC08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5A7D07"/>
    <w:multiLevelType w:val="hybridMultilevel"/>
    <w:tmpl w:val="6F6CEF46"/>
    <w:lvl w:ilvl="0" w:tplc="98FC677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48F1A0C"/>
    <w:multiLevelType w:val="hybridMultilevel"/>
    <w:tmpl w:val="C22A80E2"/>
    <w:lvl w:ilvl="0" w:tplc="7B1070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EB1A1B"/>
    <w:multiLevelType w:val="hybridMultilevel"/>
    <w:tmpl w:val="A322C5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F2D2513"/>
    <w:multiLevelType w:val="hybridMultilevel"/>
    <w:tmpl w:val="22D819A4"/>
    <w:lvl w:ilvl="0" w:tplc="7D32504E">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9"/>
  </w:num>
  <w:num w:numId="4">
    <w:abstractNumId w:val="7"/>
  </w:num>
  <w:num w:numId="5">
    <w:abstractNumId w:val="1"/>
  </w:num>
  <w:num w:numId="6">
    <w:abstractNumId w:val="3"/>
  </w:num>
  <w:num w:numId="7">
    <w:abstractNumId w:val="4"/>
  </w:num>
  <w:num w:numId="8">
    <w:abstractNumId w:val="2"/>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rawingGridHorizontalSpacing w:val="120"/>
  <w:drawingGridVerticalSpacing w:val="163"/>
  <w:displayHorizontalDrawingGridEvery w:val="2"/>
  <w:displayVerticalDrawingGridEvery w:val="2"/>
  <w:noPunctuationKerning/>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7DE"/>
    <w:rsid w:val="00004C29"/>
    <w:rsid w:val="000104A5"/>
    <w:rsid w:val="00027E75"/>
    <w:rsid w:val="0003460B"/>
    <w:rsid w:val="000420A7"/>
    <w:rsid w:val="000457D3"/>
    <w:rsid w:val="00047F81"/>
    <w:rsid w:val="00052AEF"/>
    <w:rsid w:val="00061406"/>
    <w:rsid w:val="00061DFC"/>
    <w:rsid w:val="00062872"/>
    <w:rsid w:val="000735CD"/>
    <w:rsid w:val="00075977"/>
    <w:rsid w:val="00085E9B"/>
    <w:rsid w:val="000866B4"/>
    <w:rsid w:val="00093BDD"/>
    <w:rsid w:val="0009598D"/>
    <w:rsid w:val="000A164F"/>
    <w:rsid w:val="000A4144"/>
    <w:rsid w:val="000A4364"/>
    <w:rsid w:val="000B5614"/>
    <w:rsid w:val="000C147C"/>
    <w:rsid w:val="000D0CF9"/>
    <w:rsid w:val="000D2F48"/>
    <w:rsid w:val="000D7779"/>
    <w:rsid w:val="000E0787"/>
    <w:rsid w:val="000E1B88"/>
    <w:rsid w:val="000E431F"/>
    <w:rsid w:val="000E49B8"/>
    <w:rsid w:val="000E6D01"/>
    <w:rsid w:val="000F7108"/>
    <w:rsid w:val="001007DE"/>
    <w:rsid w:val="00100B06"/>
    <w:rsid w:val="00107D2E"/>
    <w:rsid w:val="00110268"/>
    <w:rsid w:val="00113969"/>
    <w:rsid w:val="001304F6"/>
    <w:rsid w:val="001309AA"/>
    <w:rsid w:val="00134DEA"/>
    <w:rsid w:val="00140A27"/>
    <w:rsid w:val="00144A73"/>
    <w:rsid w:val="00145835"/>
    <w:rsid w:val="00147A96"/>
    <w:rsid w:val="00154FCF"/>
    <w:rsid w:val="00156553"/>
    <w:rsid w:val="00175797"/>
    <w:rsid w:val="00180E1B"/>
    <w:rsid w:val="0018265C"/>
    <w:rsid w:val="00192477"/>
    <w:rsid w:val="00195206"/>
    <w:rsid w:val="001A60FB"/>
    <w:rsid w:val="001B7327"/>
    <w:rsid w:val="001D0700"/>
    <w:rsid w:val="001D3868"/>
    <w:rsid w:val="001D5905"/>
    <w:rsid w:val="001D6979"/>
    <w:rsid w:val="001E4719"/>
    <w:rsid w:val="001E6F87"/>
    <w:rsid w:val="001F7B2D"/>
    <w:rsid w:val="00200EB0"/>
    <w:rsid w:val="00204641"/>
    <w:rsid w:val="002050E2"/>
    <w:rsid w:val="002065CC"/>
    <w:rsid w:val="002070E8"/>
    <w:rsid w:val="00214AF7"/>
    <w:rsid w:val="002175BF"/>
    <w:rsid w:val="002215D3"/>
    <w:rsid w:val="00224716"/>
    <w:rsid w:val="0023463F"/>
    <w:rsid w:val="00240F15"/>
    <w:rsid w:val="00252D73"/>
    <w:rsid w:val="00263C34"/>
    <w:rsid w:val="00272723"/>
    <w:rsid w:val="00273110"/>
    <w:rsid w:val="00273682"/>
    <w:rsid w:val="0029184B"/>
    <w:rsid w:val="00293A28"/>
    <w:rsid w:val="00295932"/>
    <w:rsid w:val="00295FC9"/>
    <w:rsid w:val="002A2EB5"/>
    <w:rsid w:val="002B39DB"/>
    <w:rsid w:val="002C001E"/>
    <w:rsid w:val="002C1146"/>
    <w:rsid w:val="002C59A8"/>
    <w:rsid w:val="002C7FAF"/>
    <w:rsid w:val="002D45AD"/>
    <w:rsid w:val="002D4D02"/>
    <w:rsid w:val="002E1603"/>
    <w:rsid w:val="002F47C3"/>
    <w:rsid w:val="002F5C24"/>
    <w:rsid w:val="00300537"/>
    <w:rsid w:val="00305333"/>
    <w:rsid w:val="0030543B"/>
    <w:rsid w:val="00306CB4"/>
    <w:rsid w:val="00316BA2"/>
    <w:rsid w:val="00317A3C"/>
    <w:rsid w:val="00320063"/>
    <w:rsid w:val="0033189D"/>
    <w:rsid w:val="00332367"/>
    <w:rsid w:val="003346DD"/>
    <w:rsid w:val="003373F1"/>
    <w:rsid w:val="00342B3B"/>
    <w:rsid w:val="0035426C"/>
    <w:rsid w:val="00362538"/>
    <w:rsid w:val="00362A12"/>
    <w:rsid w:val="00376D81"/>
    <w:rsid w:val="00382124"/>
    <w:rsid w:val="00394D28"/>
    <w:rsid w:val="0039638D"/>
    <w:rsid w:val="00396F0A"/>
    <w:rsid w:val="003A033A"/>
    <w:rsid w:val="003A1397"/>
    <w:rsid w:val="003A5FF4"/>
    <w:rsid w:val="003A6E15"/>
    <w:rsid w:val="003B5DCD"/>
    <w:rsid w:val="003B6A04"/>
    <w:rsid w:val="003C0FD4"/>
    <w:rsid w:val="003D2D43"/>
    <w:rsid w:val="003E41CA"/>
    <w:rsid w:val="003E67D1"/>
    <w:rsid w:val="00403581"/>
    <w:rsid w:val="00403F33"/>
    <w:rsid w:val="00412906"/>
    <w:rsid w:val="00412EE9"/>
    <w:rsid w:val="00413D24"/>
    <w:rsid w:val="004170B8"/>
    <w:rsid w:val="00417CA4"/>
    <w:rsid w:val="00421757"/>
    <w:rsid w:val="00433C21"/>
    <w:rsid w:val="00443BB2"/>
    <w:rsid w:val="00450480"/>
    <w:rsid w:val="00454F8D"/>
    <w:rsid w:val="004567EA"/>
    <w:rsid w:val="00463427"/>
    <w:rsid w:val="00487DF9"/>
    <w:rsid w:val="004923C2"/>
    <w:rsid w:val="004962A0"/>
    <w:rsid w:val="004A1680"/>
    <w:rsid w:val="004A1BBC"/>
    <w:rsid w:val="004A684D"/>
    <w:rsid w:val="004A6BF1"/>
    <w:rsid w:val="004B32E4"/>
    <w:rsid w:val="004C4C43"/>
    <w:rsid w:val="004D397C"/>
    <w:rsid w:val="004F11FC"/>
    <w:rsid w:val="004F1F9C"/>
    <w:rsid w:val="004F3504"/>
    <w:rsid w:val="004F4B82"/>
    <w:rsid w:val="00506BE6"/>
    <w:rsid w:val="00506CFB"/>
    <w:rsid w:val="00511F65"/>
    <w:rsid w:val="00521112"/>
    <w:rsid w:val="00521DD2"/>
    <w:rsid w:val="005248C8"/>
    <w:rsid w:val="005275B0"/>
    <w:rsid w:val="00530439"/>
    <w:rsid w:val="0053263F"/>
    <w:rsid w:val="00536104"/>
    <w:rsid w:val="005508CF"/>
    <w:rsid w:val="00550AC0"/>
    <w:rsid w:val="005520C2"/>
    <w:rsid w:val="0055702D"/>
    <w:rsid w:val="0056007C"/>
    <w:rsid w:val="00560366"/>
    <w:rsid w:val="00570028"/>
    <w:rsid w:val="00573B83"/>
    <w:rsid w:val="00575C33"/>
    <w:rsid w:val="005805C4"/>
    <w:rsid w:val="00582F7E"/>
    <w:rsid w:val="00586EC4"/>
    <w:rsid w:val="00590F14"/>
    <w:rsid w:val="005978C6"/>
    <w:rsid w:val="005A0F49"/>
    <w:rsid w:val="005A30B4"/>
    <w:rsid w:val="005B29CE"/>
    <w:rsid w:val="005B31B5"/>
    <w:rsid w:val="005B3587"/>
    <w:rsid w:val="005B5F47"/>
    <w:rsid w:val="005C0029"/>
    <w:rsid w:val="005C39B8"/>
    <w:rsid w:val="005C55FE"/>
    <w:rsid w:val="005C7B4A"/>
    <w:rsid w:val="005C7CA4"/>
    <w:rsid w:val="005D2600"/>
    <w:rsid w:val="005E2A0E"/>
    <w:rsid w:val="005F5551"/>
    <w:rsid w:val="00600607"/>
    <w:rsid w:val="00604403"/>
    <w:rsid w:val="006104B7"/>
    <w:rsid w:val="0061211B"/>
    <w:rsid w:val="006126C7"/>
    <w:rsid w:val="00616256"/>
    <w:rsid w:val="006200D9"/>
    <w:rsid w:val="0062028B"/>
    <w:rsid w:val="00626C90"/>
    <w:rsid w:val="006402AD"/>
    <w:rsid w:val="00641C1E"/>
    <w:rsid w:val="006531A8"/>
    <w:rsid w:val="006621E1"/>
    <w:rsid w:val="00670AD2"/>
    <w:rsid w:val="0067260A"/>
    <w:rsid w:val="006763A8"/>
    <w:rsid w:val="006804E4"/>
    <w:rsid w:val="006906E4"/>
    <w:rsid w:val="00692BFD"/>
    <w:rsid w:val="00697428"/>
    <w:rsid w:val="006A2D88"/>
    <w:rsid w:val="006A361F"/>
    <w:rsid w:val="006A4D37"/>
    <w:rsid w:val="006B2AA9"/>
    <w:rsid w:val="006B6E4C"/>
    <w:rsid w:val="006B7D39"/>
    <w:rsid w:val="006C702D"/>
    <w:rsid w:val="006C7C55"/>
    <w:rsid w:val="006D260F"/>
    <w:rsid w:val="006D5EF5"/>
    <w:rsid w:val="006F0C0B"/>
    <w:rsid w:val="006F4512"/>
    <w:rsid w:val="006F7363"/>
    <w:rsid w:val="006F7B43"/>
    <w:rsid w:val="007049EA"/>
    <w:rsid w:val="00706E5B"/>
    <w:rsid w:val="00711AF7"/>
    <w:rsid w:val="00716393"/>
    <w:rsid w:val="00716498"/>
    <w:rsid w:val="00716A6F"/>
    <w:rsid w:val="007239AA"/>
    <w:rsid w:val="00726B8D"/>
    <w:rsid w:val="007277F5"/>
    <w:rsid w:val="00733C3C"/>
    <w:rsid w:val="00733FD6"/>
    <w:rsid w:val="00750D2A"/>
    <w:rsid w:val="00752AAA"/>
    <w:rsid w:val="007532BC"/>
    <w:rsid w:val="007539E7"/>
    <w:rsid w:val="007544D9"/>
    <w:rsid w:val="00761A8C"/>
    <w:rsid w:val="00762101"/>
    <w:rsid w:val="00764AAB"/>
    <w:rsid w:val="00764CE2"/>
    <w:rsid w:val="0076617A"/>
    <w:rsid w:val="00775852"/>
    <w:rsid w:val="0078286E"/>
    <w:rsid w:val="00786E2D"/>
    <w:rsid w:val="00790037"/>
    <w:rsid w:val="00795F3F"/>
    <w:rsid w:val="00796F93"/>
    <w:rsid w:val="007A6BF2"/>
    <w:rsid w:val="007B6D64"/>
    <w:rsid w:val="007C47A6"/>
    <w:rsid w:val="007C4C2C"/>
    <w:rsid w:val="007D27DE"/>
    <w:rsid w:val="007E01C3"/>
    <w:rsid w:val="008121BB"/>
    <w:rsid w:val="00814937"/>
    <w:rsid w:val="00815B24"/>
    <w:rsid w:val="008215F8"/>
    <w:rsid w:val="00824435"/>
    <w:rsid w:val="00843647"/>
    <w:rsid w:val="00847DA1"/>
    <w:rsid w:val="008521AA"/>
    <w:rsid w:val="00861C73"/>
    <w:rsid w:val="00865ECF"/>
    <w:rsid w:val="00875209"/>
    <w:rsid w:val="00875C98"/>
    <w:rsid w:val="008765F2"/>
    <w:rsid w:val="008851B1"/>
    <w:rsid w:val="00887B55"/>
    <w:rsid w:val="00887BD6"/>
    <w:rsid w:val="00887F76"/>
    <w:rsid w:val="008A1900"/>
    <w:rsid w:val="008B17D3"/>
    <w:rsid w:val="008B4F73"/>
    <w:rsid w:val="008C001D"/>
    <w:rsid w:val="008C3241"/>
    <w:rsid w:val="008E1850"/>
    <w:rsid w:val="009060FE"/>
    <w:rsid w:val="00911366"/>
    <w:rsid w:val="00920866"/>
    <w:rsid w:val="00922275"/>
    <w:rsid w:val="0092443A"/>
    <w:rsid w:val="0094203A"/>
    <w:rsid w:val="009425A1"/>
    <w:rsid w:val="009460C4"/>
    <w:rsid w:val="009469B0"/>
    <w:rsid w:val="00946FD9"/>
    <w:rsid w:val="00947A2F"/>
    <w:rsid w:val="00950E1C"/>
    <w:rsid w:val="00955EEF"/>
    <w:rsid w:val="00956DAA"/>
    <w:rsid w:val="00960E5E"/>
    <w:rsid w:val="009611F6"/>
    <w:rsid w:val="00961F4B"/>
    <w:rsid w:val="00965F2C"/>
    <w:rsid w:val="00966A17"/>
    <w:rsid w:val="00975551"/>
    <w:rsid w:val="00977176"/>
    <w:rsid w:val="00987AF4"/>
    <w:rsid w:val="00992BDD"/>
    <w:rsid w:val="0099633E"/>
    <w:rsid w:val="009A2336"/>
    <w:rsid w:val="009A60C0"/>
    <w:rsid w:val="009A76A2"/>
    <w:rsid w:val="009B1B16"/>
    <w:rsid w:val="009B3D1C"/>
    <w:rsid w:val="009D0E84"/>
    <w:rsid w:val="009D17E4"/>
    <w:rsid w:val="009D62F2"/>
    <w:rsid w:val="009F1EB4"/>
    <w:rsid w:val="009F4BCC"/>
    <w:rsid w:val="00A0218D"/>
    <w:rsid w:val="00A05050"/>
    <w:rsid w:val="00A10252"/>
    <w:rsid w:val="00A22E46"/>
    <w:rsid w:val="00A24B45"/>
    <w:rsid w:val="00A25BBF"/>
    <w:rsid w:val="00A274E9"/>
    <w:rsid w:val="00A2779D"/>
    <w:rsid w:val="00A470AE"/>
    <w:rsid w:val="00A5278B"/>
    <w:rsid w:val="00A5501D"/>
    <w:rsid w:val="00A61D47"/>
    <w:rsid w:val="00A6724F"/>
    <w:rsid w:val="00A72665"/>
    <w:rsid w:val="00A771C6"/>
    <w:rsid w:val="00A775E8"/>
    <w:rsid w:val="00A8051E"/>
    <w:rsid w:val="00A80DC9"/>
    <w:rsid w:val="00A80F1D"/>
    <w:rsid w:val="00A8128F"/>
    <w:rsid w:val="00A835A2"/>
    <w:rsid w:val="00A86506"/>
    <w:rsid w:val="00A96BC3"/>
    <w:rsid w:val="00A9723C"/>
    <w:rsid w:val="00AA6DB3"/>
    <w:rsid w:val="00AA7BC6"/>
    <w:rsid w:val="00AA7EE5"/>
    <w:rsid w:val="00AB128B"/>
    <w:rsid w:val="00AB18DE"/>
    <w:rsid w:val="00AB2150"/>
    <w:rsid w:val="00AB21A9"/>
    <w:rsid w:val="00AC0E3B"/>
    <w:rsid w:val="00AC23F1"/>
    <w:rsid w:val="00AC5EA7"/>
    <w:rsid w:val="00AD11BA"/>
    <w:rsid w:val="00AD1B36"/>
    <w:rsid w:val="00AD1C63"/>
    <w:rsid w:val="00AE0F3E"/>
    <w:rsid w:val="00AE7114"/>
    <w:rsid w:val="00AF3E72"/>
    <w:rsid w:val="00AF4727"/>
    <w:rsid w:val="00AF5994"/>
    <w:rsid w:val="00B056A9"/>
    <w:rsid w:val="00B06004"/>
    <w:rsid w:val="00B14099"/>
    <w:rsid w:val="00B14714"/>
    <w:rsid w:val="00B20110"/>
    <w:rsid w:val="00B23533"/>
    <w:rsid w:val="00B23F9E"/>
    <w:rsid w:val="00B442EA"/>
    <w:rsid w:val="00B44819"/>
    <w:rsid w:val="00B448B6"/>
    <w:rsid w:val="00B51880"/>
    <w:rsid w:val="00B62900"/>
    <w:rsid w:val="00B635E3"/>
    <w:rsid w:val="00B66F98"/>
    <w:rsid w:val="00B7453B"/>
    <w:rsid w:val="00B8112C"/>
    <w:rsid w:val="00B81DD9"/>
    <w:rsid w:val="00B82203"/>
    <w:rsid w:val="00B86306"/>
    <w:rsid w:val="00B87AD8"/>
    <w:rsid w:val="00B92EB9"/>
    <w:rsid w:val="00B949D2"/>
    <w:rsid w:val="00BA15C6"/>
    <w:rsid w:val="00BA33F0"/>
    <w:rsid w:val="00BA5CEE"/>
    <w:rsid w:val="00BB44F2"/>
    <w:rsid w:val="00BB546E"/>
    <w:rsid w:val="00BC1FE7"/>
    <w:rsid w:val="00BD2743"/>
    <w:rsid w:val="00BD5D1C"/>
    <w:rsid w:val="00BD6962"/>
    <w:rsid w:val="00BE322E"/>
    <w:rsid w:val="00BE7FA9"/>
    <w:rsid w:val="00BF046A"/>
    <w:rsid w:val="00BF57CB"/>
    <w:rsid w:val="00BF5E47"/>
    <w:rsid w:val="00C05058"/>
    <w:rsid w:val="00C11812"/>
    <w:rsid w:val="00C14F41"/>
    <w:rsid w:val="00C3029A"/>
    <w:rsid w:val="00C377F6"/>
    <w:rsid w:val="00C41559"/>
    <w:rsid w:val="00C42C47"/>
    <w:rsid w:val="00C44031"/>
    <w:rsid w:val="00C46863"/>
    <w:rsid w:val="00C47B22"/>
    <w:rsid w:val="00C53749"/>
    <w:rsid w:val="00C56EB8"/>
    <w:rsid w:val="00C61075"/>
    <w:rsid w:val="00C640D4"/>
    <w:rsid w:val="00C72603"/>
    <w:rsid w:val="00C74890"/>
    <w:rsid w:val="00C814EF"/>
    <w:rsid w:val="00C857FD"/>
    <w:rsid w:val="00C90BF6"/>
    <w:rsid w:val="00C933E3"/>
    <w:rsid w:val="00CA0B1B"/>
    <w:rsid w:val="00CA5B8F"/>
    <w:rsid w:val="00CA685E"/>
    <w:rsid w:val="00CA6C12"/>
    <w:rsid w:val="00CB1159"/>
    <w:rsid w:val="00CC26E8"/>
    <w:rsid w:val="00CD5CEB"/>
    <w:rsid w:val="00CD66B5"/>
    <w:rsid w:val="00CE44FB"/>
    <w:rsid w:val="00CE79A7"/>
    <w:rsid w:val="00CF2A9E"/>
    <w:rsid w:val="00D0163E"/>
    <w:rsid w:val="00D14B02"/>
    <w:rsid w:val="00D16DD7"/>
    <w:rsid w:val="00D209D6"/>
    <w:rsid w:val="00D21D6A"/>
    <w:rsid w:val="00D25B26"/>
    <w:rsid w:val="00D34F0B"/>
    <w:rsid w:val="00D4520A"/>
    <w:rsid w:val="00D4520B"/>
    <w:rsid w:val="00D636C2"/>
    <w:rsid w:val="00D669FC"/>
    <w:rsid w:val="00D77951"/>
    <w:rsid w:val="00D81B31"/>
    <w:rsid w:val="00D8632B"/>
    <w:rsid w:val="00D95B26"/>
    <w:rsid w:val="00DA18A1"/>
    <w:rsid w:val="00DA6FED"/>
    <w:rsid w:val="00DB3D1A"/>
    <w:rsid w:val="00DB41A7"/>
    <w:rsid w:val="00DC25E2"/>
    <w:rsid w:val="00DD525F"/>
    <w:rsid w:val="00DD5E91"/>
    <w:rsid w:val="00DE1433"/>
    <w:rsid w:val="00DE2DEC"/>
    <w:rsid w:val="00DF0256"/>
    <w:rsid w:val="00E10E86"/>
    <w:rsid w:val="00E1244F"/>
    <w:rsid w:val="00E24685"/>
    <w:rsid w:val="00E261BA"/>
    <w:rsid w:val="00E357ED"/>
    <w:rsid w:val="00E4013F"/>
    <w:rsid w:val="00E416C9"/>
    <w:rsid w:val="00E41CFF"/>
    <w:rsid w:val="00E41E5B"/>
    <w:rsid w:val="00E464A5"/>
    <w:rsid w:val="00E478A9"/>
    <w:rsid w:val="00E54247"/>
    <w:rsid w:val="00E54B8C"/>
    <w:rsid w:val="00E55606"/>
    <w:rsid w:val="00E559AA"/>
    <w:rsid w:val="00E6068C"/>
    <w:rsid w:val="00E678C6"/>
    <w:rsid w:val="00E73131"/>
    <w:rsid w:val="00E74A10"/>
    <w:rsid w:val="00E75DB1"/>
    <w:rsid w:val="00E76391"/>
    <w:rsid w:val="00E81D5F"/>
    <w:rsid w:val="00E872E1"/>
    <w:rsid w:val="00E92228"/>
    <w:rsid w:val="00EA2579"/>
    <w:rsid w:val="00EA329F"/>
    <w:rsid w:val="00EB1E98"/>
    <w:rsid w:val="00EB6BE2"/>
    <w:rsid w:val="00EC055E"/>
    <w:rsid w:val="00EC25D1"/>
    <w:rsid w:val="00EC44CF"/>
    <w:rsid w:val="00EC4662"/>
    <w:rsid w:val="00EC4AD0"/>
    <w:rsid w:val="00ED311D"/>
    <w:rsid w:val="00ED401B"/>
    <w:rsid w:val="00EE789E"/>
    <w:rsid w:val="00EF37DF"/>
    <w:rsid w:val="00EF3AFB"/>
    <w:rsid w:val="00EF55D4"/>
    <w:rsid w:val="00EF733F"/>
    <w:rsid w:val="00F11BC9"/>
    <w:rsid w:val="00F17112"/>
    <w:rsid w:val="00F2404B"/>
    <w:rsid w:val="00F27941"/>
    <w:rsid w:val="00F27C1E"/>
    <w:rsid w:val="00F34ECE"/>
    <w:rsid w:val="00F36886"/>
    <w:rsid w:val="00F41405"/>
    <w:rsid w:val="00F4486B"/>
    <w:rsid w:val="00F46825"/>
    <w:rsid w:val="00F47C5E"/>
    <w:rsid w:val="00F52850"/>
    <w:rsid w:val="00F60CD8"/>
    <w:rsid w:val="00F7026B"/>
    <w:rsid w:val="00F71048"/>
    <w:rsid w:val="00F711C8"/>
    <w:rsid w:val="00F72CD9"/>
    <w:rsid w:val="00F75D95"/>
    <w:rsid w:val="00F82D45"/>
    <w:rsid w:val="00F942F3"/>
    <w:rsid w:val="00FA1CB3"/>
    <w:rsid w:val="00FA2CC4"/>
    <w:rsid w:val="00FA32A1"/>
    <w:rsid w:val="00FA3586"/>
    <w:rsid w:val="00FB4273"/>
    <w:rsid w:val="00FB678C"/>
    <w:rsid w:val="00FC649F"/>
    <w:rsid w:val="00FE1731"/>
    <w:rsid w:val="00FE7A77"/>
    <w:rsid w:val="00FF2EDD"/>
    <w:rsid w:val="00FF3BDA"/>
    <w:rsid w:val="00FF6866"/>
    <w:rsid w:val="033CAE37"/>
    <w:rsid w:val="0395DFED"/>
    <w:rsid w:val="0424C4FE"/>
    <w:rsid w:val="056C98A7"/>
    <w:rsid w:val="065767F6"/>
    <w:rsid w:val="0752B5E1"/>
    <w:rsid w:val="081E3303"/>
    <w:rsid w:val="0861FB02"/>
    <w:rsid w:val="09FF91CB"/>
    <w:rsid w:val="0EFF5DB0"/>
    <w:rsid w:val="1225049A"/>
    <w:rsid w:val="1392DB5A"/>
    <w:rsid w:val="14D57A05"/>
    <w:rsid w:val="17614EB3"/>
    <w:rsid w:val="17AED955"/>
    <w:rsid w:val="18FD1F14"/>
    <w:rsid w:val="192086A8"/>
    <w:rsid w:val="19E1D2A0"/>
    <w:rsid w:val="1BCABAE2"/>
    <w:rsid w:val="1E886AD9"/>
    <w:rsid w:val="1F6C6098"/>
    <w:rsid w:val="253F02D8"/>
    <w:rsid w:val="261A260E"/>
    <w:rsid w:val="2A17473B"/>
    <w:rsid w:val="2BA694D8"/>
    <w:rsid w:val="2BB4A881"/>
    <w:rsid w:val="2CD4AD36"/>
    <w:rsid w:val="31F4580A"/>
    <w:rsid w:val="333B439A"/>
    <w:rsid w:val="3530901B"/>
    <w:rsid w:val="3549B878"/>
    <w:rsid w:val="35F6FF9A"/>
    <w:rsid w:val="3C619EE2"/>
    <w:rsid w:val="3E983351"/>
    <w:rsid w:val="4126FC5C"/>
    <w:rsid w:val="449EA677"/>
    <w:rsid w:val="44F63F8A"/>
    <w:rsid w:val="4597242F"/>
    <w:rsid w:val="4A78143C"/>
    <w:rsid w:val="4BCEF481"/>
    <w:rsid w:val="4EDC5B54"/>
    <w:rsid w:val="4FB3C05F"/>
    <w:rsid w:val="507C1934"/>
    <w:rsid w:val="54763BF6"/>
    <w:rsid w:val="54AD9022"/>
    <w:rsid w:val="54E94FA7"/>
    <w:rsid w:val="567E16CF"/>
    <w:rsid w:val="56852008"/>
    <w:rsid w:val="57009596"/>
    <w:rsid w:val="591A1031"/>
    <w:rsid w:val="5BCCB0AB"/>
    <w:rsid w:val="5E639A0D"/>
    <w:rsid w:val="62FBD06E"/>
    <w:rsid w:val="6460817E"/>
    <w:rsid w:val="6708E650"/>
    <w:rsid w:val="68A14EEA"/>
    <w:rsid w:val="6D1B8E57"/>
    <w:rsid w:val="6D4DA2E5"/>
    <w:rsid w:val="6E51D048"/>
    <w:rsid w:val="7182CC85"/>
    <w:rsid w:val="71C84D5F"/>
    <w:rsid w:val="738C8DDC"/>
    <w:rsid w:val="74122C46"/>
    <w:rsid w:val="765A6C88"/>
    <w:rsid w:val="77F63CE9"/>
    <w:rsid w:val="78B01CA6"/>
    <w:rsid w:val="79920D4A"/>
    <w:rsid w:val="7B10C3F6"/>
    <w:rsid w:val="7CDAE8E3"/>
    <w:rsid w:val="7E1D96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1E0C257"/>
  <w15:chartTrackingRefBased/>
  <w15:docId w15:val="{E60084F4-163A-43FB-8CAE-2DDFFE403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27DE"/>
    <w:rPr>
      <w:sz w:val="24"/>
    </w:rPr>
  </w:style>
  <w:style w:type="paragraph" w:styleId="Heading1">
    <w:name w:val="heading 1"/>
    <w:basedOn w:val="Normal"/>
    <w:next w:val="Normal"/>
    <w:link w:val="Heading1Char"/>
    <w:qFormat/>
    <w:pPr>
      <w:keepNext/>
      <w:outlineLvl w:val="0"/>
    </w:pPr>
    <w:rPr>
      <w:b/>
      <w:bCs/>
    </w:rPr>
  </w:style>
  <w:style w:type="paragraph" w:styleId="Heading2">
    <w:name w:val="heading 2"/>
    <w:basedOn w:val="Normal"/>
    <w:next w:val="Normal"/>
    <w:link w:val="Heading2Char"/>
    <w:qFormat/>
    <w:pPr>
      <w:keepNext/>
      <w:outlineLvl w:val="1"/>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rFonts w:ascii="Helvetica" w:hAnsi="Helvetica"/>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pPr>
      <w:jc w:val="both"/>
    </w:pPr>
    <w:rPr>
      <w:rFonts w:ascii="Helvetica" w:hAnsi="Helvetica"/>
      <w:sz w:val="20"/>
    </w:rPr>
  </w:style>
  <w:style w:type="paragraph" w:styleId="BodyTextIndent">
    <w:name w:val="Body Text Indent"/>
    <w:basedOn w:val="Normal"/>
    <w:link w:val="BodyTextIndentChar"/>
    <w:pPr>
      <w:ind w:left="1440" w:hanging="1440"/>
    </w:pPr>
    <w:rPr>
      <w:b/>
    </w:rPr>
  </w:style>
  <w:style w:type="paragraph" w:styleId="Date">
    <w:name w:val="Date"/>
    <w:basedOn w:val="Normal"/>
    <w:next w:val="Normal"/>
  </w:style>
  <w:style w:type="paragraph" w:styleId="FootnoteText">
    <w:name w:val="footnote text"/>
    <w:basedOn w:val="Normal"/>
    <w:semiHidden/>
    <w:rPr>
      <w:sz w:val="20"/>
    </w:rPr>
  </w:style>
  <w:style w:type="paragraph" w:styleId="Title">
    <w:name w:val="Title"/>
    <w:basedOn w:val="Normal"/>
    <w:qFormat/>
    <w:pPr>
      <w:jc w:val="center"/>
    </w:pPr>
    <w:rPr>
      <w:rFonts w:ascii="Helvetica" w:hAnsi="Helvetica"/>
      <w:b/>
      <w:sz w:val="20"/>
      <w:szCs w:val="32"/>
      <w:u w:val="single"/>
    </w:rPr>
  </w:style>
  <w:style w:type="paragraph" w:styleId="ListParagraph">
    <w:name w:val="List Paragraph"/>
    <w:basedOn w:val="Normal"/>
    <w:qFormat/>
    <w:pPr>
      <w:ind w:left="720"/>
    </w:pPr>
  </w:style>
  <w:style w:type="paragraph" w:styleId="NoSpacing">
    <w:name w:val="No Spacing"/>
    <w:uiPriority w:val="1"/>
    <w:qFormat/>
    <w:rPr>
      <w:rFonts w:ascii="Calibri" w:eastAsia="Calibri" w:hAnsi="Calibri"/>
      <w:sz w:val="22"/>
      <w:szCs w:val="22"/>
    </w:rPr>
  </w:style>
  <w:style w:type="paragraph" w:styleId="HTMLPreformatted">
    <w:name w:val="HTML Preformatted"/>
    <w:basedOn w:val="Normal"/>
    <w:semiHidden/>
    <w:rsid w:val="007D27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rPr>
  </w:style>
  <w:style w:type="paragraph" w:styleId="BalloonText">
    <w:name w:val="Balloon Text"/>
    <w:basedOn w:val="Normal"/>
    <w:semiHidden/>
    <w:rsid w:val="0061211B"/>
    <w:rPr>
      <w:rFonts w:ascii="Tahoma" w:hAnsi="Tahoma" w:cs="Tahoma"/>
      <w:sz w:val="16"/>
      <w:szCs w:val="16"/>
    </w:rPr>
  </w:style>
  <w:style w:type="character" w:styleId="Hyperlink">
    <w:name w:val="Hyperlink"/>
    <w:unhideWhenUsed/>
    <w:rsid w:val="008215F8"/>
    <w:rPr>
      <w:color w:val="0000FF"/>
      <w:u w:val="single"/>
    </w:rPr>
  </w:style>
  <w:style w:type="character" w:customStyle="1" w:styleId="BodyTextIndentChar">
    <w:name w:val="Body Text Indent Char"/>
    <w:link w:val="BodyTextIndent"/>
    <w:rsid w:val="008215F8"/>
    <w:rPr>
      <w:b/>
      <w:sz w:val="24"/>
    </w:rPr>
  </w:style>
  <w:style w:type="paragraph" w:styleId="BlockText">
    <w:name w:val="Block Text"/>
    <w:basedOn w:val="Normal"/>
    <w:unhideWhenUsed/>
    <w:rsid w:val="008215F8"/>
    <w:pPr>
      <w:ind w:left="4320" w:right="-180" w:firstLine="720"/>
    </w:pPr>
    <w:rPr>
      <w:rFonts w:ascii="Arial" w:hAnsi="Arial" w:cs="Arial"/>
      <w:sz w:val="20"/>
    </w:rPr>
  </w:style>
  <w:style w:type="character" w:customStyle="1" w:styleId="Heading1Char">
    <w:name w:val="Heading 1 Char"/>
    <w:link w:val="Heading1"/>
    <w:rsid w:val="0033189D"/>
    <w:rPr>
      <w:b/>
      <w:bCs/>
      <w:sz w:val="24"/>
    </w:rPr>
  </w:style>
  <w:style w:type="character" w:customStyle="1" w:styleId="Heading2Char">
    <w:name w:val="Heading 2 Char"/>
    <w:link w:val="Heading2"/>
    <w:rsid w:val="0033189D"/>
    <w:rPr>
      <w:rFonts w:ascii="Arial" w:hAnsi="Arial" w:cs="Arial"/>
      <w:b/>
      <w:bCs/>
    </w:rPr>
  </w:style>
  <w:style w:type="character" w:customStyle="1" w:styleId="BodyTextChar">
    <w:name w:val="Body Text Char"/>
    <w:link w:val="BodyText"/>
    <w:rsid w:val="0033189D"/>
    <w:rPr>
      <w:rFonts w:ascii="Helvetica" w:hAnsi="Helvetica"/>
    </w:rPr>
  </w:style>
  <w:style w:type="character" w:styleId="FootnoteReference">
    <w:name w:val="footnote reference"/>
    <w:basedOn w:val="DefaultParagraphFont"/>
    <w:rsid w:val="008E1850"/>
    <w:rPr>
      <w:vertAlign w:val="superscript"/>
    </w:rPr>
  </w:style>
  <w:style w:type="character" w:styleId="UnresolvedMention">
    <w:name w:val="Unresolved Mention"/>
    <w:basedOn w:val="DefaultParagraphFont"/>
    <w:uiPriority w:val="99"/>
    <w:semiHidden/>
    <w:unhideWhenUsed/>
    <w:rsid w:val="00C3029A"/>
    <w:rPr>
      <w:color w:val="605E5C"/>
      <w:shd w:val="clear" w:color="auto" w:fill="E1DFDD"/>
    </w:rPr>
  </w:style>
  <w:style w:type="character" w:styleId="CommentReference">
    <w:name w:val="annotation reference"/>
    <w:basedOn w:val="DefaultParagraphFont"/>
    <w:rsid w:val="000D2F48"/>
    <w:rPr>
      <w:sz w:val="16"/>
      <w:szCs w:val="16"/>
    </w:rPr>
  </w:style>
  <w:style w:type="paragraph" w:styleId="CommentText">
    <w:name w:val="annotation text"/>
    <w:basedOn w:val="Normal"/>
    <w:link w:val="CommentTextChar"/>
    <w:rsid w:val="000D2F48"/>
    <w:rPr>
      <w:sz w:val="20"/>
    </w:rPr>
  </w:style>
  <w:style w:type="character" w:customStyle="1" w:styleId="CommentTextChar">
    <w:name w:val="Comment Text Char"/>
    <w:basedOn w:val="DefaultParagraphFont"/>
    <w:link w:val="CommentText"/>
    <w:rsid w:val="000D2F48"/>
  </w:style>
  <w:style w:type="paragraph" w:styleId="CommentSubject">
    <w:name w:val="annotation subject"/>
    <w:basedOn w:val="CommentText"/>
    <w:next w:val="CommentText"/>
    <w:link w:val="CommentSubjectChar"/>
    <w:rsid w:val="000D2F48"/>
    <w:rPr>
      <w:b/>
      <w:bCs/>
    </w:rPr>
  </w:style>
  <w:style w:type="character" w:customStyle="1" w:styleId="CommentSubjectChar">
    <w:name w:val="Comment Subject Char"/>
    <w:basedOn w:val="CommentTextChar"/>
    <w:link w:val="CommentSubject"/>
    <w:rsid w:val="000D2F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095644">
      <w:bodyDiv w:val="1"/>
      <w:marLeft w:val="0"/>
      <w:marRight w:val="0"/>
      <w:marTop w:val="0"/>
      <w:marBottom w:val="0"/>
      <w:divBdr>
        <w:top w:val="none" w:sz="0" w:space="0" w:color="auto"/>
        <w:left w:val="none" w:sz="0" w:space="0" w:color="auto"/>
        <w:bottom w:val="none" w:sz="0" w:space="0" w:color="auto"/>
        <w:right w:val="none" w:sz="0" w:space="0" w:color="auto"/>
      </w:divBdr>
    </w:div>
    <w:div w:id="445780116">
      <w:bodyDiv w:val="1"/>
      <w:marLeft w:val="0"/>
      <w:marRight w:val="0"/>
      <w:marTop w:val="0"/>
      <w:marBottom w:val="0"/>
      <w:divBdr>
        <w:top w:val="none" w:sz="0" w:space="0" w:color="auto"/>
        <w:left w:val="none" w:sz="0" w:space="0" w:color="auto"/>
        <w:bottom w:val="none" w:sz="0" w:space="0" w:color="auto"/>
        <w:right w:val="none" w:sz="0" w:space="0" w:color="auto"/>
      </w:divBdr>
    </w:div>
    <w:div w:id="1055743182">
      <w:bodyDiv w:val="1"/>
      <w:marLeft w:val="0"/>
      <w:marRight w:val="0"/>
      <w:marTop w:val="0"/>
      <w:marBottom w:val="0"/>
      <w:divBdr>
        <w:top w:val="none" w:sz="0" w:space="0" w:color="auto"/>
        <w:left w:val="none" w:sz="0" w:space="0" w:color="auto"/>
        <w:bottom w:val="none" w:sz="0" w:space="0" w:color="auto"/>
        <w:right w:val="none" w:sz="0" w:space="0" w:color="auto"/>
      </w:divBdr>
    </w:div>
    <w:div w:id="1636986503">
      <w:bodyDiv w:val="1"/>
      <w:marLeft w:val="0"/>
      <w:marRight w:val="0"/>
      <w:marTop w:val="0"/>
      <w:marBottom w:val="0"/>
      <w:divBdr>
        <w:top w:val="none" w:sz="0" w:space="0" w:color="auto"/>
        <w:left w:val="none" w:sz="0" w:space="0" w:color="auto"/>
        <w:bottom w:val="none" w:sz="0" w:space="0" w:color="auto"/>
        <w:right w:val="none" w:sz="0" w:space="0" w:color="auto"/>
      </w:divBdr>
    </w:div>
    <w:div w:id="1663196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footnotes.xml.rels><?xml version="1.0" encoding="UTF-8" standalone="yes"?>
<Relationships xmlns="http://schemas.openxmlformats.org/package/2006/relationships"><Relationship Id="rId1" Type="http://schemas.openxmlformats.org/officeDocument/2006/relationships/hyperlink" Target="https://www.dir.ca.gov/dlse/dlsemanual/dlse_enfcmanu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FE69E40203F34B9681D00FBC537DF7" ma:contentTypeVersion="6" ma:contentTypeDescription="Create a new document." ma:contentTypeScope="" ma:versionID="ecf3ff0e559dd581154ba9ba37951fc1">
  <xsd:schema xmlns:xsd="http://www.w3.org/2001/XMLSchema" xmlns:xs="http://www.w3.org/2001/XMLSchema" xmlns:p="http://schemas.microsoft.com/office/2006/metadata/properties" xmlns:ns2="c890d0c9-0b70-4dc6-8c41-3af9c36c84e4" xmlns:ns3="bb4f4ba8-594d-4fba-aab9-24fbcba8a15d" targetNamespace="http://schemas.microsoft.com/office/2006/metadata/properties" ma:root="true" ma:fieldsID="c0124a4029e2b988015704f2a527753e" ns2:_="" ns3:_="">
    <xsd:import namespace="c890d0c9-0b70-4dc6-8c41-3af9c36c84e4"/>
    <xsd:import namespace="bb4f4ba8-594d-4fba-aab9-24fbcba8a1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90d0c9-0b70-4dc6-8c41-3af9c36c84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4f4ba8-594d-4fba-aab9-24fbcba8a15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1BD7BB8-6E7E-4FA1-BEB8-04640A664D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90d0c9-0b70-4dc6-8c41-3af9c36c84e4"/>
    <ds:schemaRef ds:uri="bb4f4ba8-594d-4fba-aab9-24fbcba8a1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82E0C0-E02E-4F62-A355-8206984338AD}">
  <ds:schemaRefs>
    <ds:schemaRef ds:uri="http://schemas.openxmlformats.org/officeDocument/2006/bibliography"/>
  </ds:schemaRefs>
</ds:datastoreItem>
</file>

<file path=customXml/itemProps3.xml><?xml version="1.0" encoding="utf-8"?>
<ds:datastoreItem xmlns:ds="http://schemas.openxmlformats.org/officeDocument/2006/customXml" ds:itemID="{9ADBA4B9-6848-4036-A9DF-B1E3FB05DD70}">
  <ds:schemaRefs>
    <ds:schemaRef ds:uri="http://schemas.microsoft.com/sharepoint/v3/contenttype/forms"/>
  </ds:schemaRefs>
</ds:datastoreItem>
</file>

<file path=customXml/itemProps4.xml><?xml version="1.0" encoding="utf-8"?>
<ds:datastoreItem xmlns:ds="http://schemas.openxmlformats.org/officeDocument/2006/customXml" ds:itemID="{54608A23-30AF-4581-A01F-406569B4C61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1433</Words>
  <Characters>8172</Characters>
  <Application>Microsoft Office Word</Application>
  <DocSecurity>0</DocSecurity>
  <Lines>68</Lines>
  <Paragraphs>19</Paragraphs>
  <ScaleCrop>false</ScaleCrop>
  <Company>California Chamber of Commerce</Company>
  <LinksUpToDate>false</LinksUpToDate>
  <CharactersWithSpaces>9586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1, 2007</dc:title>
  <dc:subject/>
  <dc:creator>alarsen</dc:creator>
  <cp:keywords/>
  <cp:lastModifiedBy>Leder, Leslie</cp:lastModifiedBy>
  <cp:revision>20</cp:revision>
  <cp:lastPrinted>2021-01-29T20:48:00Z</cp:lastPrinted>
  <dcterms:created xsi:type="dcterms:W3CDTF">2021-02-01T16:45:00Z</dcterms:created>
  <dcterms:modified xsi:type="dcterms:W3CDTF">2021-02-01T18:12:00Z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0x010100E1FE69E40203F34B9681D00FBC537DF7</vt:lpwstr>
  </property>
</Properties>
</file>